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B8156" w14:textId="2159CA5B" w:rsidR="00B9327C" w:rsidRPr="00B9327C" w:rsidRDefault="00B9327C" w:rsidP="00B9327C">
      <w:pPr>
        <w:rPr>
          <w:b/>
          <w:bCs/>
        </w:rPr>
      </w:pPr>
      <w:r w:rsidRPr="00B9327C">
        <w:rPr>
          <w:b/>
          <w:bCs/>
        </w:rPr>
        <w:t>Customs Overview Training Course</w:t>
      </w:r>
    </w:p>
    <w:p w14:paraId="76B5519D" w14:textId="77777777" w:rsidR="00B9327C" w:rsidRDefault="00B9327C" w:rsidP="00B9327C"/>
    <w:p w14:paraId="77EDC8AF" w14:textId="77777777" w:rsidR="00B9327C" w:rsidRDefault="00B9327C" w:rsidP="00B9327C">
      <w:r>
        <w:t>This one-day course offers a foundational understanding of customs declarations, helping businesses identify responsibilities and ensure compliance with HMRC regulations.</w:t>
      </w:r>
    </w:p>
    <w:p w14:paraId="7838D8EF" w14:textId="77777777" w:rsidR="00B9327C" w:rsidRDefault="00B9327C" w:rsidP="00B9327C"/>
    <w:p w14:paraId="37E7304D" w14:textId="77777777" w:rsidR="00B9327C" w:rsidRPr="00B9327C" w:rsidRDefault="00B9327C" w:rsidP="00B9327C">
      <w:pPr>
        <w:rPr>
          <w:b/>
          <w:bCs/>
        </w:rPr>
      </w:pPr>
      <w:r w:rsidRPr="00B9327C">
        <w:rPr>
          <w:b/>
          <w:bCs/>
        </w:rPr>
        <w:t>Who is it For?</w:t>
      </w:r>
    </w:p>
    <w:p w14:paraId="3B34CDF8" w14:textId="77777777" w:rsidR="00B9327C" w:rsidRDefault="00B9327C" w:rsidP="00B9327C"/>
    <w:p w14:paraId="73CE6E52" w14:textId="77777777" w:rsidR="00B9327C" w:rsidRDefault="00B9327C" w:rsidP="00B9327C">
      <w:r>
        <w:t>Perfect for businesses considering in-house customs declarations, those aiming to enhance their understanding of obligations, or teams working in departments such as:</w:t>
      </w:r>
    </w:p>
    <w:p w14:paraId="516B27B7" w14:textId="77777777" w:rsidR="00B9327C" w:rsidRDefault="00B9327C" w:rsidP="00B9327C"/>
    <w:p w14:paraId="16DF6EED" w14:textId="77777777" w:rsidR="00B9327C" w:rsidRDefault="00B9327C" w:rsidP="00B9327C">
      <w:pPr>
        <w:pStyle w:val="ListParagraph"/>
        <w:numPr>
          <w:ilvl w:val="0"/>
          <w:numId w:val="11"/>
        </w:numPr>
      </w:pPr>
      <w:r>
        <w:t>Shipping and Logistics</w:t>
      </w:r>
    </w:p>
    <w:p w14:paraId="14AF2C9A" w14:textId="77777777" w:rsidR="00B9327C" w:rsidRDefault="00B9327C" w:rsidP="00B9327C">
      <w:pPr>
        <w:pStyle w:val="ListParagraph"/>
        <w:numPr>
          <w:ilvl w:val="0"/>
          <w:numId w:val="11"/>
        </w:numPr>
      </w:pPr>
      <w:r>
        <w:t>Distribution</w:t>
      </w:r>
    </w:p>
    <w:p w14:paraId="1F4ED3C2" w14:textId="77777777" w:rsidR="00B9327C" w:rsidRDefault="00B9327C" w:rsidP="00B9327C">
      <w:pPr>
        <w:pStyle w:val="ListParagraph"/>
        <w:numPr>
          <w:ilvl w:val="0"/>
          <w:numId w:val="11"/>
        </w:numPr>
      </w:pPr>
      <w:r>
        <w:t>Finance and Export Administration</w:t>
      </w:r>
    </w:p>
    <w:p w14:paraId="6482EED6" w14:textId="77777777" w:rsidR="00B9327C" w:rsidRDefault="00B9327C" w:rsidP="00B9327C"/>
    <w:p w14:paraId="2E1E7BB7" w14:textId="77777777" w:rsidR="00B9327C" w:rsidRPr="00B9327C" w:rsidRDefault="00B9327C" w:rsidP="00B9327C">
      <w:pPr>
        <w:rPr>
          <w:b/>
          <w:bCs/>
        </w:rPr>
      </w:pPr>
      <w:r w:rsidRPr="00B9327C">
        <w:rPr>
          <w:b/>
          <w:bCs/>
        </w:rPr>
        <w:t>What You’ll Learn</w:t>
      </w:r>
    </w:p>
    <w:p w14:paraId="627CE4D5" w14:textId="77777777" w:rsidR="00B9327C" w:rsidRDefault="00B9327C" w:rsidP="00B9327C"/>
    <w:p w14:paraId="6C63B8E9" w14:textId="77777777" w:rsidR="00B9327C" w:rsidRDefault="00B9327C" w:rsidP="00B9327C">
      <w:pPr>
        <w:pStyle w:val="ListParagraph"/>
        <w:numPr>
          <w:ilvl w:val="0"/>
          <w:numId w:val="6"/>
        </w:numPr>
      </w:pPr>
      <w:r>
        <w:t>The fundamentals of trade and customs processes</w:t>
      </w:r>
    </w:p>
    <w:p w14:paraId="48B9B450" w14:textId="77777777" w:rsidR="00B9327C" w:rsidRDefault="00B9327C" w:rsidP="00B9327C">
      <w:pPr>
        <w:pStyle w:val="ListParagraph"/>
        <w:numPr>
          <w:ilvl w:val="0"/>
          <w:numId w:val="6"/>
        </w:numPr>
      </w:pPr>
      <w:r>
        <w:t>Roles and responsibilities in a customs declaration</w:t>
      </w:r>
    </w:p>
    <w:p w14:paraId="174729AC" w14:textId="77777777" w:rsidR="00B9327C" w:rsidRDefault="00B9327C" w:rsidP="00B9327C">
      <w:pPr>
        <w:pStyle w:val="ListParagraph"/>
        <w:numPr>
          <w:ilvl w:val="0"/>
          <w:numId w:val="6"/>
        </w:numPr>
      </w:pPr>
      <w:r>
        <w:t>Import and export procedures, including valuation, classification, and preferences</w:t>
      </w:r>
    </w:p>
    <w:p w14:paraId="358CE31C" w14:textId="77777777" w:rsidR="00B9327C" w:rsidRDefault="00B9327C" w:rsidP="00B9327C"/>
    <w:p w14:paraId="20165F56" w14:textId="77777777" w:rsidR="00B9327C" w:rsidRPr="00B9327C" w:rsidRDefault="00B9327C" w:rsidP="00B9327C">
      <w:pPr>
        <w:rPr>
          <w:b/>
          <w:bCs/>
        </w:rPr>
      </w:pPr>
      <w:r w:rsidRPr="00B9327C">
        <w:rPr>
          <w:b/>
          <w:bCs/>
        </w:rPr>
        <w:t>Outcome</w:t>
      </w:r>
    </w:p>
    <w:p w14:paraId="15543465" w14:textId="77777777" w:rsidR="00B9327C" w:rsidRDefault="00B9327C" w:rsidP="00B9327C"/>
    <w:p w14:paraId="5A6ACB79" w14:textId="77777777" w:rsidR="00B9327C" w:rsidRDefault="00B9327C" w:rsidP="00B9327C">
      <w:r>
        <w:t>Participants will acquire the skills to review and verify customs declarations for accuracy and compliance, ensuring adherence to HMRC requirements.</w:t>
      </w:r>
    </w:p>
    <w:p w14:paraId="1E16E747" w14:textId="77777777" w:rsidR="00B9327C" w:rsidRDefault="00B9327C" w:rsidP="00B9327C"/>
    <w:p w14:paraId="4F115B06" w14:textId="77777777" w:rsidR="00B9327C" w:rsidRPr="00B9327C" w:rsidRDefault="00B9327C" w:rsidP="00B9327C">
      <w:pPr>
        <w:rPr>
          <w:b/>
          <w:bCs/>
        </w:rPr>
      </w:pPr>
      <w:r w:rsidRPr="00B9327C">
        <w:rPr>
          <w:b/>
          <w:bCs/>
        </w:rPr>
        <w:t>Delivery</w:t>
      </w:r>
    </w:p>
    <w:p w14:paraId="67DDC5F3" w14:textId="77777777" w:rsidR="00B9327C" w:rsidRDefault="00B9327C" w:rsidP="00B9327C"/>
    <w:p w14:paraId="4D2CE9C7" w14:textId="754B4629" w:rsidR="00B9327C" w:rsidRDefault="00B9327C" w:rsidP="00B9327C">
      <w:r>
        <w:t>Online, instructor-led training with interactive Q&amp;A.</w:t>
      </w:r>
    </w:p>
    <w:p w14:paraId="460A1A0B" w14:textId="77777777" w:rsidR="00B9327C" w:rsidRDefault="00B9327C" w:rsidP="00B9327C"/>
    <w:p w14:paraId="11BC99AA" w14:textId="557E90A3" w:rsidR="00B9327C" w:rsidRPr="00B9327C" w:rsidRDefault="00B9327C" w:rsidP="00B9327C">
      <w:pPr>
        <w:rPr>
          <w:b/>
          <w:bCs/>
        </w:rPr>
      </w:pPr>
      <w:r>
        <w:rPr>
          <w:b/>
          <w:bCs/>
        </w:rPr>
        <w:t xml:space="preserve">In-House </w:t>
      </w:r>
      <w:r w:rsidRPr="00B9327C">
        <w:rPr>
          <w:b/>
          <w:bCs/>
        </w:rPr>
        <w:t>Delivery Option</w:t>
      </w:r>
    </w:p>
    <w:p w14:paraId="5081EB28" w14:textId="77777777" w:rsidR="00B9327C" w:rsidRDefault="00B9327C" w:rsidP="00B9327C"/>
    <w:p w14:paraId="0B5FBDF7" w14:textId="77777777" w:rsidR="00B9327C" w:rsidRDefault="00B9327C" w:rsidP="00B9327C">
      <w:r>
        <w:t>For businesses that prefer tailored training, we offer an onsite delivery option. This allows us to:</w:t>
      </w:r>
    </w:p>
    <w:p w14:paraId="730770D6" w14:textId="77777777" w:rsidR="00B9327C" w:rsidRDefault="00B9327C" w:rsidP="00B9327C"/>
    <w:p w14:paraId="7F80C636" w14:textId="77777777" w:rsidR="00B9327C" w:rsidRDefault="00B9327C" w:rsidP="00B9327C">
      <w:pPr>
        <w:pStyle w:val="ListParagraph"/>
        <w:numPr>
          <w:ilvl w:val="0"/>
          <w:numId w:val="9"/>
        </w:numPr>
      </w:pPr>
      <w:r>
        <w:t>Conduct training privately at your premises or online on a date that suits your team.</w:t>
      </w:r>
    </w:p>
    <w:p w14:paraId="0A410B38" w14:textId="77777777" w:rsidR="00B9327C" w:rsidRDefault="00B9327C" w:rsidP="00B9327C">
      <w:pPr>
        <w:pStyle w:val="ListParagraph"/>
        <w:numPr>
          <w:ilvl w:val="0"/>
          <w:numId w:val="9"/>
        </w:numPr>
      </w:pPr>
      <w:r>
        <w:t>Customise elements of the course to align with your company’s specific processes, such as commodity codes, customs procedures, and usual scenarios.</w:t>
      </w:r>
    </w:p>
    <w:p w14:paraId="32D48590" w14:textId="77777777" w:rsidR="00B9327C" w:rsidRDefault="00B9327C" w:rsidP="00B9327C"/>
    <w:p w14:paraId="7C5811B9" w14:textId="77777777" w:rsidR="00B9327C" w:rsidRPr="00B9327C" w:rsidRDefault="00B9327C" w:rsidP="00B9327C">
      <w:pPr>
        <w:rPr>
          <w:b/>
          <w:bCs/>
        </w:rPr>
      </w:pPr>
      <w:r w:rsidRPr="00B9327C">
        <w:rPr>
          <w:b/>
          <w:bCs/>
        </w:rPr>
        <w:t>Benefits of In-House Training:</w:t>
      </w:r>
    </w:p>
    <w:p w14:paraId="59ACD0C1" w14:textId="77777777" w:rsidR="00B9327C" w:rsidRDefault="00B9327C" w:rsidP="00B9327C"/>
    <w:p w14:paraId="55D16131" w14:textId="64CBEEEF" w:rsidR="00B9327C" w:rsidRDefault="00B9327C" w:rsidP="00B9327C">
      <w:pPr>
        <w:pStyle w:val="ListParagraph"/>
        <w:numPr>
          <w:ilvl w:val="0"/>
          <w:numId w:val="10"/>
        </w:numPr>
      </w:pPr>
      <w:r>
        <w:t>Private training, customised to your business</w:t>
      </w:r>
    </w:p>
    <w:p w14:paraId="5C8A6FEA" w14:textId="27042353" w:rsidR="00B9327C" w:rsidRDefault="00B9327C" w:rsidP="00B9327C">
      <w:pPr>
        <w:pStyle w:val="ListParagraph"/>
        <w:numPr>
          <w:ilvl w:val="0"/>
          <w:numId w:val="10"/>
        </w:numPr>
      </w:pPr>
      <w:r>
        <w:t>Q&amp;A sessions tailored to your industry, goals, and challenges</w:t>
      </w:r>
    </w:p>
    <w:p w14:paraId="570AEBDC" w14:textId="198529FB" w:rsidR="00B9327C" w:rsidRDefault="00B9327C" w:rsidP="00B9327C">
      <w:pPr>
        <w:pStyle w:val="ListParagraph"/>
        <w:numPr>
          <w:ilvl w:val="0"/>
          <w:numId w:val="10"/>
        </w:numPr>
      </w:pPr>
      <w:r>
        <w:t>Cost-effective for groups</w:t>
      </w:r>
    </w:p>
    <w:p w14:paraId="6E321E82" w14:textId="24A841BA" w:rsidR="00B9327C" w:rsidRDefault="00B9327C" w:rsidP="00B9327C">
      <w:pPr>
        <w:pStyle w:val="ListParagraph"/>
        <w:numPr>
          <w:ilvl w:val="0"/>
          <w:numId w:val="10"/>
        </w:numPr>
      </w:pPr>
      <w:r>
        <w:t>Flexible scheduling to suit your business needs</w:t>
      </w:r>
    </w:p>
    <w:p w14:paraId="4E0CD76B" w14:textId="77777777" w:rsidR="00B9327C" w:rsidRDefault="00B9327C" w:rsidP="00B9327C"/>
    <w:p w14:paraId="3B624234" w14:textId="77777777" w:rsidR="00B9327C" w:rsidRDefault="00B9327C" w:rsidP="00B9327C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310"/>
        <w:gridCol w:w="1994"/>
        <w:gridCol w:w="2196"/>
      </w:tblGrid>
      <w:tr w:rsidR="002114F7" w:rsidRPr="00E6790B" w14:paraId="0B3B6E61" w14:textId="77777777" w:rsidTr="002404CF">
        <w:tc>
          <w:tcPr>
            <w:tcW w:w="4310" w:type="dxa"/>
            <w:shd w:val="clear" w:color="auto" w:fill="417F91"/>
          </w:tcPr>
          <w:p w14:paraId="1F12BF82" w14:textId="77777777" w:rsidR="002114F7" w:rsidRPr="00E6790B" w:rsidRDefault="002114F7" w:rsidP="002404CF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6790B">
              <w:rPr>
                <w:b/>
                <w:bCs/>
                <w:color w:val="FFFFFF" w:themeColor="background1"/>
                <w:sz w:val="22"/>
                <w:szCs w:val="22"/>
              </w:rPr>
              <w:t>Training and Support Options</w:t>
            </w:r>
          </w:p>
        </w:tc>
        <w:tc>
          <w:tcPr>
            <w:tcW w:w="1994" w:type="dxa"/>
            <w:shd w:val="clear" w:color="auto" w:fill="417F91"/>
          </w:tcPr>
          <w:p w14:paraId="2D49B06D" w14:textId="77777777" w:rsidR="002114F7" w:rsidRPr="00E6790B" w:rsidRDefault="002114F7" w:rsidP="002404CF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6790B">
              <w:rPr>
                <w:b/>
                <w:bCs/>
                <w:color w:val="FFFFFF" w:themeColor="background1"/>
                <w:sz w:val="22"/>
                <w:szCs w:val="22"/>
              </w:rPr>
              <w:t>Chamber Member</w:t>
            </w:r>
          </w:p>
        </w:tc>
        <w:tc>
          <w:tcPr>
            <w:tcW w:w="2196" w:type="dxa"/>
            <w:shd w:val="clear" w:color="auto" w:fill="417F91"/>
          </w:tcPr>
          <w:p w14:paraId="7F020309" w14:textId="77777777" w:rsidR="002114F7" w:rsidRPr="00E6790B" w:rsidRDefault="002114F7" w:rsidP="002404CF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E6790B">
              <w:rPr>
                <w:b/>
                <w:bCs/>
                <w:color w:val="FFFFFF" w:themeColor="background1"/>
                <w:sz w:val="22"/>
                <w:szCs w:val="22"/>
              </w:rPr>
              <w:t>Non- Member</w:t>
            </w:r>
          </w:p>
        </w:tc>
      </w:tr>
      <w:tr w:rsidR="002114F7" w:rsidRPr="00BD2EA1" w14:paraId="2370A95C" w14:textId="77777777" w:rsidTr="002404CF">
        <w:tc>
          <w:tcPr>
            <w:tcW w:w="4310" w:type="dxa"/>
            <w:shd w:val="clear" w:color="auto" w:fill="E9EDEF"/>
          </w:tcPr>
          <w:p w14:paraId="02062754" w14:textId="77777777" w:rsidR="002114F7" w:rsidRPr="00BD2EA1" w:rsidRDefault="002114F7" w:rsidP="00240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1-Day CDS Customs Overview </w:t>
            </w:r>
          </w:p>
        </w:tc>
        <w:tc>
          <w:tcPr>
            <w:tcW w:w="1994" w:type="dxa"/>
            <w:shd w:val="clear" w:color="auto" w:fill="E9EDEF"/>
          </w:tcPr>
          <w:p w14:paraId="411F7BCF" w14:textId="77777777" w:rsidR="002114F7" w:rsidRPr="00BD2EA1" w:rsidRDefault="002114F7" w:rsidP="002404CF">
            <w:pPr>
              <w:jc w:val="center"/>
              <w:rPr>
                <w:sz w:val="22"/>
                <w:szCs w:val="22"/>
              </w:rPr>
            </w:pPr>
            <w:r w:rsidRPr="00BD2EA1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349</w:t>
            </w:r>
            <w:r w:rsidRPr="00BD2EA1">
              <w:rPr>
                <w:sz w:val="22"/>
                <w:szCs w:val="22"/>
              </w:rPr>
              <w:t xml:space="preserve"> + VAT</w:t>
            </w:r>
          </w:p>
        </w:tc>
        <w:tc>
          <w:tcPr>
            <w:tcW w:w="2196" w:type="dxa"/>
            <w:shd w:val="clear" w:color="auto" w:fill="E9EDEF"/>
          </w:tcPr>
          <w:p w14:paraId="6FDD9A2D" w14:textId="77777777" w:rsidR="002114F7" w:rsidRPr="00BD2EA1" w:rsidRDefault="002114F7" w:rsidP="002404CF">
            <w:pPr>
              <w:jc w:val="center"/>
              <w:rPr>
                <w:sz w:val="22"/>
                <w:szCs w:val="22"/>
              </w:rPr>
            </w:pPr>
            <w:r w:rsidRPr="00BD2EA1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495</w:t>
            </w:r>
            <w:r w:rsidRPr="00BD2EA1">
              <w:rPr>
                <w:sz w:val="22"/>
                <w:szCs w:val="22"/>
              </w:rPr>
              <w:t xml:space="preserve"> + VAT</w:t>
            </w:r>
          </w:p>
        </w:tc>
      </w:tr>
      <w:tr w:rsidR="002114F7" w:rsidRPr="00BD2EA1" w14:paraId="7D78B9A9" w14:textId="77777777" w:rsidTr="002404CF">
        <w:tc>
          <w:tcPr>
            <w:tcW w:w="4310" w:type="dxa"/>
          </w:tcPr>
          <w:p w14:paraId="341DEF63" w14:textId="77777777" w:rsidR="002114F7" w:rsidRPr="00BD2EA1" w:rsidRDefault="002114F7" w:rsidP="00240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1-Day CDS Customs Overview – in-house, </w:t>
            </w:r>
            <w:r w:rsidRPr="00A327EB">
              <w:rPr>
                <w:b/>
                <w:bCs/>
                <w:sz w:val="22"/>
                <w:szCs w:val="22"/>
              </w:rPr>
              <w:t>virtual delivery</w:t>
            </w:r>
            <w:r>
              <w:rPr>
                <w:sz w:val="22"/>
                <w:szCs w:val="22"/>
              </w:rPr>
              <w:t xml:space="preserve"> (up to 8 attendees)</w:t>
            </w:r>
          </w:p>
        </w:tc>
        <w:tc>
          <w:tcPr>
            <w:tcW w:w="1994" w:type="dxa"/>
          </w:tcPr>
          <w:p w14:paraId="7B756EF2" w14:textId="77777777" w:rsidR="002114F7" w:rsidRPr="00BD2EA1" w:rsidRDefault="002114F7" w:rsidP="00240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£2,000 + VAT</w:t>
            </w:r>
          </w:p>
        </w:tc>
        <w:tc>
          <w:tcPr>
            <w:tcW w:w="2196" w:type="dxa"/>
          </w:tcPr>
          <w:p w14:paraId="632E2CC7" w14:textId="77777777" w:rsidR="002114F7" w:rsidRPr="00BD2EA1" w:rsidRDefault="002114F7" w:rsidP="00240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£2,500 + VAT</w:t>
            </w:r>
          </w:p>
        </w:tc>
      </w:tr>
      <w:tr w:rsidR="002114F7" w14:paraId="6FC01CCC" w14:textId="77777777" w:rsidTr="002404CF">
        <w:tc>
          <w:tcPr>
            <w:tcW w:w="4310" w:type="dxa"/>
            <w:shd w:val="clear" w:color="auto" w:fill="E9EDEF"/>
          </w:tcPr>
          <w:p w14:paraId="1B7793C4" w14:textId="77777777" w:rsidR="002114F7" w:rsidRDefault="002114F7" w:rsidP="002404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1-Day CDS Customs Overview – in-house, </w:t>
            </w:r>
            <w:r w:rsidRPr="00A327EB">
              <w:rPr>
                <w:b/>
                <w:bCs/>
                <w:sz w:val="22"/>
                <w:szCs w:val="22"/>
              </w:rPr>
              <w:t>onsite delivery</w:t>
            </w:r>
            <w:r>
              <w:rPr>
                <w:sz w:val="22"/>
                <w:szCs w:val="22"/>
              </w:rPr>
              <w:t xml:space="preserve"> (up to 8 attendees)</w:t>
            </w:r>
          </w:p>
        </w:tc>
        <w:tc>
          <w:tcPr>
            <w:tcW w:w="1994" w:type="dxa"/>
            <w:shd w:val="clear" w:color="auto" w:fill="E9EDEF"/>
          </w:tcPr>
          <w:p w14:paraId="556C73FC" w14:textId="77777777" w:rsidR="002114F7" w:rsidRDefault="002114F7" w:rsidP="00240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£2,500 + VAT</w:t>
            </w:r>
          </w:p>
        </w:tc>
        <w:tc>
          <w:tcPr>
            <w:tcW w:w="2196" w:type="dxa"/>
            <w:shd w:val="clear" w:color="auto" w:fill="E9EDEF"/>
          </w:tcPr>
          <w:p w14:paraId="3CAA63B6" w14:textId="77777777" w:rsidR="002114F7" w:rsidRDefault="002114F7" w:rsidP="002404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£3,000 + VAT</w:t>
            </w:r>
          </w:p>
        </w:tc>
      </w:tr>
    </w:tbl>
    <w:p w14:paraId="08E219B1" w14:textId="314BAB00" w:rsidR="00B9327C" w:rsidRDefault="00B9327C" w:rsidP="00B9327C"/>
    <w:sectPr w:rsidR="00B93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64124"/>
    <w:multiLevelType w:val="hybridMultilevel"/>
    <w:tmpl w:val="A93C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577C9"/>
    <w:multiLevelType w:val="hybridMultilevel"/>
    <w:tmpl w:val="5DEED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91FBF"/>
    <w:multiLevelType w:val="hybridMultilevel"/>
    <w:tmpl w:val="463AB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34273"/>
    <w:multiLevelType w:val="hybridMultilevel"/>
    <w:tmpl w:val="3D0E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24A2"/>
    <w:multiLevelType w:val="multilevel"/>
    <w:tmpl w:val="3EF6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B048D"/>
    <w:multiLevelType w:val="hybridMultilevel"/>
    <w:tmpl w:val="7BF4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46E6"/>
    <w:multiLevelType w:val="hybridMultilevel"/>
    <w:tmpl w:val="5F76A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50C"/>
    <w:multiLevelType w:val="hybridMultilevel"/>
    <w:tmpl w:val="2ECA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602B7"/>
    <w:multiLevelType w:val="hybridMultilevel"/>
    <w:tmpl w:val="CDD03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514AA"/>
    <w:multiLevelType w:val="multilevel"/>
    <w:tmpl w:val="F9DA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84484"/>
    <w:multiLevelType w:val="hybridMultilevel"/>
    <w:tmpl w:val="758CF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F377E"/>
    <w:multiLevelType w:val="multilevel"/>
    <w:tmpl w:val="2980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A5AE4"/>
    <w:multiLevelType w:val="hybridMultilevel"/>
    <w:tmpl w:val="2FE0F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989925">
    <w:abstractNumId w:val="4"/>
  </w:num>
  <w:num w:numId="2" w16cid:durableId="1837260895">
    <w:abstractNumId w:val="9"/>
  </w:num>
  <w:num w:numId="3" w16cid:durableId="1856185390">
    <w:abstractNumId w:val="5"/>
  </w:num>
  <w:num w:numId="4" w16cid:durableId="857164260">
    <w:abstractNumId w:val="10"/>
  </w:num>
  <w:num w:numId="5" w16cid:durableId="515005488">
    <w:abstractNumId w:val="8"/>
  </w:num>
  <w:num w:numId="6" w16cid:durableId="474878038">
    <w:abstractNumId w:val="7"/>
  </w:num>
  <w:num w:numId="7" w16cid:durableId="1785346012">
    <w:abstractNumId w:val="2"/>
  </w:num>
  <w:num w:numId="8" w16cid:durableId="1940336230">
    <w:abstractNumId w:val="11"/>
  </w:num>
  <w:num w:numId="9" w16cid:durableId="256333537">
    <w:abstractNumId w:val="1"/>
  </w:num>
  <w:num w:numId="10" w16cid:durableId="1228762879">
    <w:abstractNumId w:val="12"/>
  </w:num>
  <w:num w:numId="11" w16cid:durableId="534737371">
    <w:abstractNumId w:val="6"/>
  </w:num>
  <w:num w:numId="12" w16cid:durableId="1068768405">
    <w:abstractNumId w:val="3"/>
  </w:num>
  <w:num w:numId="13" w16cid:durableId="148847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7C"/>
    <w:rsid w:val="00151E94"/>
    <w:rsid w:val="002114F7"/>
    <w:rsid w:val="002D2F2B"/>
    <w:rsid w:val="004A0625"/>
    <w:rsid w:val="00913312"/>
    <w:rsid w:val="009F5B4A"/>
    <w:rsid w:val="00B432FC"/>
    <w:rsid w:val="00B9327C"/>
    <w:rsid w:val="00BA7B01"/>
    <w:rsid w:val="00F9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7C9C"/>
  <w15:chartTrackingRefBased/>
  <w15:docId w15:val="{3A269E6D-B51D-CC4C-AD81-871B127A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01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B0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B718A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7B01"/>
    <w:pPr>
      <w:keepNext/>
      <w:keepLines/>
      <w:outlineLvl w:val="1"/>
    </w:pPr>
    <w:rPr>
      <w:rFonts w:eastAsiaTheme="majorEastAsia" w:cstheme="majorBidi"/>
      <w:b/>
      <w:bCs/>
      <w:color w:val="A1B8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B01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5E5E5E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B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B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B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00A2FF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B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B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B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BA7B01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A7B01"/>
    <w:pPr>
      <w:contextualSpacing/>
    </w:pPr>
    <w:rPr>
      <w:rFonts w:asciiTheme="majorHAnsi" w:eastAsiaTheme="majorEastAsia" w:hAnsiTheme="majorHAnsi" w:cstheme="majorBidi"/>
      <w:color w:val="1E2C4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7B01"/>
    <w:rPr>
      <w:rFonts w:asciiTheme="majorHAnsi" w:eastAsiaTheme="majorEastAsia" w:hAnsiTheme="majorHAnsi" w:cstheme="majorBidi"/>
      <w:color w:val="1E2C4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A7B01"/>
    <w:rPr>
      <w:rFonts w:asciiTheme="majorHAnsi" w:eastAsiaTheme="majorEastAsia" w:hAnsiTheme="majorHAnsi" w:cstheme="majorBidi"/>
      <w:b/>
      <w:bCs/>
      <w:color w:val="1B718A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7B01"/>
    <w:rPr>
      <w:rFonts w:eastAsiaTheme="majorEastAsia" w:cstheme="majorBidi"/>
      <w:b/>
      <w:bCs/>
      <w:color w:val="A1B8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A7B01"/>
    <w:rPr>
      <w:rFonts w:asciiTheme="majorHAnsi" w:eastAsiaTheme="majorEastAsia" w:hAnsiTheme="majorHAnsi" w:cstheme="majorBidi"/>
      <w:bCs/>
      <w:color w:val="5E5E5E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B01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B01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B01"/>
    <w:rPr>
      <w:rFonts w:asciiTheme="majorHAnsi" w:eastAsiaTheme="majorEastAsia" w:hAnsiTheme="majorHAnsi" w:cstheme="majorBidi"/>
      <w:iCs/>
      <w:color w:val="00A2F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B01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B0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B0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7B01"/>
    <w:rPr>
      <w:rFonts w:asciiTheme="majorHAnsi" w:eastAsiaTheme="minorEastAsia" w:hAnsiTheme="majorHAnsi"/>
      <w:bCs/>
      <w:smallCaps/>
      <w:color w:val="5E5E5E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B01"/>
    <w:pPr>
      <w:numPr>
        <w:ilvl w:val="1"/>
      </w:numPr>
    </w:pPr>
    <w:rPr>
      <w:rFonts w:eastAsiaTheme="majorEastAsia" w:cstheme="majorBidi"/>
      <w:iCs/>
      <w:color w:val="5E5E5E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7B01"/>
    <w:rPr>
      <w:rFonts w:eastAsiaTheme="majorEastAsia" w:cstheme="majorBidi"/>
      <w:iCs/>
      <w:color w:val="5E5E5E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BA7B01"/>
    <w:rPr>
      <w:b w:val="0"/>
      <w:bCs/>
      <w:i/>
      <w:color w:val="5E5E5E" w:themeColor="text2"/>
    </w:rPr>
  </w:style>
  <w:style w:type="character" w:styleId="Emphasis">
    <w:name w:val="Emphasis"/>
    <w:basedOn w:val="DefaultParagraphFont"/>
    <w:uiPriority w:val="20"/>
    <w:qFormat/>
    <w:rsid w:val="00BA7B01"/>
    <w:rPr>
      <w:b/>
      <w:i/>
      <w:iCs/>
    </w:rPr>
  </w:style>
  <w:style w:type="paragraph" w:styleId="NoSpacing">
    <w:name w:val="No Spacing"/>
    <w:link w:val="NoSpacingChar"/>
    <w:uiPriority w:val="1"/>
    <w:qFormat/>
    <w:rsid w:val="00BA7B01"/>
  </w:style>
  <w:style w:type="character" w:customStyle="1" w:styleId="NoSpacingChar">
    <w:name w:val="No Spacing Char"/>
    <w:basedOn w:val="DefaultParagraphFont"/>
    <w:link w:val="NoSpacing"/>
    <w:uiPriority w:val="1"/>
    <w:rsid w:val="00BA7B01"/>
  </w:style>
  <w:style w:type="paragraph" w:styleId="ListParagraph">
    <w:name w:val="List Paragraph"/>
    <w:basedOn w:val="Normal"/>
    <w:uiPriority w:val="34"/>
    <w:qFormat/>
    <w:rsid w:val="00BA7B01"/>
    <w:pPr>
      <w:ind w:left="720" w:hanging="288"/>
      <w:contextualSpacing/>
    </w:pPr>
    <w:rPr>
      <w:color w:val="5E5E5E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BA7B01"/>
    <w:pPr>
      <w:spacing w:line="360" w:lineRule="auto"/>
      <w:jc w:val="center"/>
    </w:pPr>
    <w:rPr>
      <w:rFonts w:eastAsiaTheme="minorEastAsia"/>
      <w:b/>
      <w:i/>
      <w:iCs/>
      <w:color w:val="00A2FF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BA7B01"/>
    <w:rPr>
      <w:rFonts w:eastAsiaTheme="minorEastAsia"/>
      <w:b/>
      <w:i/>
      <w:iCs/>
      <w:color w:val="00A2FF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B01"/>
    <w:pPr>
      <w:pBdr>
        <w:top w:val="single" w:sz="36" w:space="8" w:color="00A2FF" w:themeColor="accent1"/>
        <w:left w:val="single" w:sz="36" w:space="8" w:color="00A2FF" w:themeColor="accent1"/>
        <w:bottom w:val="single" w:sz="36" w:space="8" w:color="00A2FF" w:themeColor="accent1"/>
        <w:right w:val="single" w:sz="36" w:space="8" w:color="00A2FF" w:themeColor="accent1"/>
      </w:pBdr>
      <w:shd w:val="clear" w:color="auto" w:fill="00A2FF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B01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00A2FF" w:themeFill="accent1"/>
    </w:rPr>
  </w:style>
  <w:style w:type="character" w:styleId="SubtleEmphasis">
    <w:name w:val="Subtle Emphasis"/>
    <w:basedOn w:val="DefaultParagraphFont"/>
    <w:uiPriority w:val="19"/>
    <w:qFormat/>
    <w:rsid w:val="00BA7B01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BA7B01"/>
    <w:rPr>
      <w:b/>
      <w:bCs/>
      <w:i/>
      <w:iCs/>
      <w:color w:val="00A2FF" w:themeColor="accent1"/>
    </w:rPr>
  </w:style>
  <w:style w:type="character" w:styleId="SubtleReference">
    <w:name w:val="Subtle Reference"/>
    <w:basedOn w:val="DefaultParagraphFont"/>
    <w:uiPriority w:val="31"/>
    <w:qFormat/>
    <w:rsid w:val="00BA7B01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BA7B01"/>
    <w:rPr>
      <w:b w:val="0"/>
      <w:bCs/>
      <w:smallCaps/>
      <w:color w:val="00A2FF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A7B01"/>
    <w:rPr>
      <w:rFonts w:asciiTheme="majorHAnsi" w:hAnsiTheme="majorHAnsi"/>
      <w:b/>
      <w:bCs/>
      <w:caps/>
      <w:smallCaps w:val="0"/>
      <w:color w:val="1B718A"/>
      <w:spacing w:val="10"/>
      <w:sz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A7B01"/>
    <w:pPr>
      <w:spacing w:before="480" w:line="264" w:lineRule="auto"/>
      <w:outlineLvl w:val="9"/>
    </w:pPr>
    <w:rPr>
      <w:b w:val="0"/>
    </w:rPr>
  </w:style>
  <w:style w:type="table" w:styleId="TableGrid">
    <w:name w:val="Table Grid"/>
    <w:basedOn w:val="TableNormal"/>
    <w:uiPriority w:val="39"/>
    <w:rsid w:val="002D2F2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right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Toms</dc:creator>
  <cp:keywords/>
  <dc:description/>
  <cp:lastModifiedBy>Jake Kennerley</cp:lastModifiedBy>
  <cp:revision>4</cp:revision>
  <dcterms:created xsi:type="dcterms:W3CDTF">2025-01-21T13:49:00Z</dcterms:created>
  <dcterms:modified xsi:type="dcterms:W3CDTF">2025-02-12T13:28:00Z</dcterms:modified>
</cp:coreProperties>
</file>