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14E6D" w14:textId="50C1B173" w:rsidR="00B9327C" w:rsidRPr="00B9327C" w:rsidRDefault="00B9327C" w:rsidP="00B9327C">
      <w:pPr>
        <w:rPr>
          <w:b/>
          <w:bCs/>
        </w:rPr>
      </w:pPr>
      <w:r w:rsidRPr="00B9327C">
        <w:rPr>
          <w:b/>
          <w:bCs/>
        </w:rPr>
        <w:t>CDS Customs Clearance Agent Training (Import and Export)</w:t>
      </w:r>
    </w:p>
    <w:p w14:paraId="3643C02C" w14:textId="77777777" w:rsidR="00B9327C" w:rsidRDefault="00B9327C" w:rsidP="00B9327C"/>
    <w:p w14:paraId="008A678B" w14:textId="3C38FE85" w:rsidR="00B9327C" w:rsidRDefault="00B9327C" w:rsidP="00B9327C">
      <w:r>
        <w:t>This 4-day course is designed for customs agents aiming to master the preparation and submission of import and export declarations using the Customs Declaration Service (CDS).</w:t>
      </w:r>
    </w:p>
    <w:p w14:paraId="58B2FEF6" w14:textId="77777777" w:rsidR="00B9327C" w:rsidRDefault="00B9327C" w:rsidP="00B9327C"/>
    <w:p w14:paraId="65EBF770" w14:textId="77777777" w:rsidR="00B9327C" w:rsidRPr="00B9327C" w:rsidRDefault="00B9327C" w:rsidP="00B9327C">
      <w:pPr>
        <w:rPr>
          <w:b/>
          <w:bCs/>
        </w:rPr>
      </w:pPr>
      <w:r w:rsidRPr="00B9327C">
        <w:rPr>
          <w:b/>
          <w:bCs/>
        </w:rPr>
        <w:t>What is the Customs Declaration Service?</w:t>
      </w:r>
    </w:p>
    <w:p w14:paraId="2880615A" w14:textId="77777777" w:rsidR="00B9327C" w:rsidRDefault="00B9327C" w:rsidP="00B9327C"/>
    <w:p w14:paraId="60236F1E" w14:textId="77777777" w:rsidR="00B9327C" w:rsidRDefault="00B9327C" w:rsidP="00B9327C">
      <w:r>
        <w:t>The CDS is the UK’s modern digital platform for handling customs declarations, replacing the outdated CHIEF system. It represents a shift from paper-based processes to an entirely digital framework.</w:t>
      </w:r>
    </w:p>
    <w:p w14:paraId="7C398193" w14:textId="77777777" w:rsidR="00B9327C" w:rsidRDefault="00B9327C" w:rsidP="00B9327C"/>
    <w:p w14:paraId="452CE2BB" w14:textId="77777777" w:rsidR="00B9327C" w:rsidRDefault="00B9327C" w:rsidP="00B9327C">
      <w:r>
        <w:t>Our expert instructors have been involved in CDS testing and implementation from the outset, collaborating closely with HMRC, software developers, and CSPs. Recognised as pioneers in the field, we were among the first in the UK to submit live declarations via CDS.</w:t>
      </w:r>
    </w:p>
    <w:p w14:paraId="66030336" w14:textId="77777777" w:rsidR="00B9327C" w:rsidRDefault="00B9327C" w:rsidP="00B9327C"/>
    <w:p w14:paraId="1C9F224F" w14:textId="77777777" w:rsidR="00B9327C" w:rsidRPr="00B9327C" w:rsidRDefault="00B9327C" w:rsidP="00B9327C">
      <w:pPr>
        <w:rPr>
          <w:b/>
          <w:bCs/>
        </w:rPr>
      </w:pPr>
      <w:r w:rsidRPr="00B9327C">
        <w:rPr>
          <w:b/>
          <w:bCs/>
        </w:rPr>
        <w:t>Who Should Attend?</w:t>
      </w:r>
    </w:p>
    <w:p w14:paraId="1FF3F590" w14:textId="77777777" w:rsidR="00B9327C" w:rsidRDefault="00B9327C" w:rsidP="00B9327C"/>
    <w:p w14:paraId="6D204603" w14:textId="2B2304AA" w:rsidR="00B9327C" w:rsidRDefault="00B9327C" w:rsidP="00B9327C">
      <w:r>
        <w:t xml:space="preserve">This course is ideal for professionals responsible for preparing import and export declarations for trade with the EU and other countries. </w:t>
      </w:r>
    </w:p>
    <w:p w14:paraId="0A2AE3D8" w14:textId="77777777" w:rsidR="00B9327C" w:rsidRDefault="00B9327C" w:rsidP="00B9327C"/>
    <w:p w14:paraId="58951168" w14:textId="77777777" w:rsidR="00B9327C" w:rsidRDefault="00B9327C" w:rsidP="00B9327C">
      <w:r w:rsidRPr="00B9327C">
        <w:t>The course is divided into two modules—</w:t>
      </w:r>
      <w:r w:rsidRPr="00B9327C">
        <w:rPr>
          <w:b/>
          <w:bCs/>
        </w:rPr>
        <w:t>Import</w:t>
      </w:r>
      <w:r w:rsidRPr="00B9327C">
        <w:t> and </w:t>
      </w:r>
      <w:r w:rsidRPr="00B9327C">
        <w:rPr>
          <w:b/>
          <w:bCs/>
        </w:rPr>
        <w:t>Export</w:t>
      </w:r>
      <w:r w:rsidRPr="00B9327C">
        <w:t>—and delivered interactively. It includes:</w:t>
      </w:r>
    </w:p>
    <w:p w14:paraId="27420769" w14:textId="77777777" w:rsidR="00B9327C" w:rsidRPr="00B9327C" w:rsidRDefault="00B9327C" w:rsidP="00B9327C"/>
    <w:p w14:paraId="69C9B81E" w14:textId="77777777" w:rsidR="00B9327C" w:rsidRPr="00B9327C" w:rsidRDefault="00B9327C" w:rsidP="00B9327C">
      <w:pPr>
        <w:numPr>
          <w:ilvl w:val="0"/>
          <w:numId w:val="8"/>
        </w:numPr>
      </w:pPr>
      <w:r w:rsidRPr="00B9327C">
        <w:t>A full breakdown of CDS Data Elements</w:t>
      </w:r>
    </w:p>
    <w:p w14:paraId="7AA941F8" w14:textId="77777777" w:rsidR="00B9327C" w:rsidRPr="00B9327C" w:rsidRDefault="00B9327C" w:rsidP="00B9327C">
      <w:pPr>
        <w:numPr>
          <w:ilvl w:val="0"/>
          <w:numId w:val="8"/>
        </w:numPr>
      </w:pPr>
      <w:r w:rsidRPr="00B9327C">
        <w:t>Workshops and demos for import and export declarations</w:t>
      </w:r>
    </w:p>
    <w:p w14:paraId="4A54B696" w14:textId="77777777" w:rsidR="00B9327C" w:rsidRDefault="00B9327C" w:rsidP="00B9327C">
      <w:pPr>
        <w:numPr>
          <w:ilvl w:val="0"/>
          <w:numId w:val="8"/>
        </w:numPr>
      </w:pPr>
      <w:r w:rsidRPr="00B9327C">
        <w:t>Practical application of customs scenarios with instructor support</w:t>
      </w:r>
    </w:p>
    <w:p w14:paraId="33F36F0E" w14:textId="77777777" w:rsidR="00B9327C" w:rsidRDefault="00B9327C" w:rsidP="00B9327C"/>
    <w:p w14:paraId="145941AC" w14:textId="77777777" w:rsidR="00B9327C" w:rsidRPr="00B9327C" w:rsidRDefault="00B9327C" w:rsidP="00B9327C">
      <w:r w:rsidRPr="00B9327C">
        <w:t>For those specialising in </w:t>
      </w:r>
      <w:r w:rsidRPr="00B9327C">
        <w:rPr>
          <w:b/>
          <w:bCs/>
        </w:rPr>
        <w:t>export declarations only</w:t>
      </w:r>
      <w:r w:rsidRPr="00B9327C">
        <w:t>, the </w:t>
      </w:r>
      <w:r w:rsidRPr="00B9327C">
        <w:rPr>
          <w:b/>
          <w:bCs/>
        </w:rPr>
        <w:t>Export-Only Module</w:t>
      </w:r>
      <w:r w:rsidRPr="00B9327C">
        <w:t> is available as a stand-alone 2-day course. This provides a focused approach for individuals who do not require training on import declarations.</w:t>
      </w:r>
    </w:p>
    <w:p w14:paraId="2971F88F" w14:textId="77777777" w:rsidR="00B9327C" w:rsidRDefault="00B9327C" w:rsidP="00B9327C"/>
    <w:p w14:paraId="722EC0BA" w14:textId="77777777" w:rsidR="00B9327C" w:rsidRPr="00B9327C" w:rsidRDefault="00B9327C" w:rsidP="00B9327C">
      <w:pPr>
        <w:rPr>
          <w:b/>
          <w:bCs/>
        </w:rPr>
      </w:pPr>
      <w:r w:rsidRPr="00B9327C">
        <w:rPr>
          <w:b/>
          <w:bCs/>
        </w:rPr>
        <w:t>By the end of the course, participants will:</w:t>
      </w:r>
    </w:p>
    <w:p w14:paraId="62E9C975" w14:textId="77777777" w:rsidR="00B9327C" w:rsidRPr="00B9327C" w:rsidRDefault="00B9327C" w:rsidP="00B9327C">
      <w:pPr>
        <w:rPr>
          <w:color w:val="000000" w:themeColor="text1"/>
        </w:rPr>
      </w:pPr>
    </w:p>
    <w:p w14:paraId="42681EF8" w14:textId="77777777" w:rsidR="00B9327C" w:rsidRPr="00B9327C" w:rsidRDefault="00B9327C" w:rsidP="00B9327C">
      <w:pPr>
        <w:pStyle w:val="ListParagraph"/>
        <w:numPr>
          <w:ilvl w:val="0"/>
          <w:numId w:val="7"/>
        </w:numPr>
        <w:rPr>
          <w:color w:val="000000" w:themeColor="text1"/>
        </w:rPr>
      </w:pPr>
      <w:r w:rsidRPr="00B9327C">
        <w:rPr>
          <w:color w:val="000000" w:themeColor="text1"/>
        </w:rPr>
        <w:t>Understand customs declaration processes and stakeholders</w:t>
      </w:r>
    </w:p>
    <w:p w14:paraId="76A16BF6" w14:textId="2B58B13B" w:rsidR="00B9327C" w:rsidRPr="00B9327C" w:rsidRDefault="00B9327C" w:rsidP="00B9327C">
      <w:pPr>
        <w:pStyle w:val="ListParagraph"/>
        <w:numPr>
          <w:ilvl w:val="0"/>
          <w:numId w:val="7"/>
        </w:numPr>
        <w:rPr>
          <w:color w:val="000000" w:themeColor="text1"/>
        </w:rPr>
      </w:pPr>
      <w:r w:rsidRPr="00B9327C">
        <w:rPr>
          <w:color w:val="000000" w:themeColor="text1"/>
        </w:rPr>
        <w:t>File compliant customs declarations</w:t>
      </w:r>
    </w:p>
    <w:p w14:paraId="2F78F3E6" w14:textId="77777777" w:rsidR="00B9327C" w:rsidRPr="00B9327C" w:rsidRDefault="00B9327C" w:rsidP="00B9327C">
      <w:pPr>
        <w:pStyle w:val="ListParagraph"/>
        <w:numPr>
          <w:ilvl w:val="0"/>
          <w:numId w:val="7"/>
        </w:numPr>
        <w:rPr>
          <w:color w:val="000000" w:themeColor="text1"/>
        </w:rPr>
      </w:pPr>
      <w:r w:rsidRPr="00B9327C">
        <w:rPr>
          <w:color w:val="000000" w:themeColor="text1"/>
        </w:rPr>
        <w:t>Apply correct customs procedures to different scenarios</w:t>
      </w:r>
    </w:p>
    <w:p w14:paraId="4E31964C" w14:textId="77777777" w:rsidR="00B9327C" w:rsidRPr="00B9327C" w:rsidRDefault="00B9327C" w:rsidP="00B9327C">
      <w:pPr>
        <w:pStyle w:val="ListParagraph"/>
        <w:numPr>
          <w:ilvl w:val="0"/>
          <w:numId w:val="7"/>
        </w:numPr>
        <w:rPr>
          <w:color w:val="000000" w:themeColor="text1"/>
        </w:rPr>
      </w:pPr>
      <w:r w:rsidRPr="00B9327C">
        <w:rPr>
          <w:color w:val="000000" w:themeColor="text1"/>
        </w:rPr>
        <w:t>Use the tariff to determine commodity codes and measures</w:t>
      </w:r>
    </w:p>
    <w:p w14:paraId="74EF303C" w14:textId="77777777" w:rsidR="00B9327C" w:rsidRPr="00B9327C" w:rsidRDefault="00B9327C" w:rsidP="00B9327C">
      <w:pPr>
        <w:pStyle w:val="ListParagraph"/>
        <w:numPr>
          <w:ilvl w:val="0"/>
          <w:numId w:val="7"/>
        </w:numPr>
        <w:rPr>
          <w:color w:val="000000" w:themeColor="text1"/>
        </w:rPr>
      </w:pPr>
      <w:r w:rsidRPr="00B9327C">
        <w:rPr>
          <w:color w:val="000000" w:themeColor="text1"/>
        </w:rPr>
        <w:t>Resolve post-clearance issues, such as amendments to declarations</w:t>
      </w:r>
    </w:p>
    <w:p w14:paraId="4BC90305" w14:textId="77777777" w:rsidR="00B9327C" w:rsidRDefault="00B9327C" w:rsidP="00B9327C"/>
    <w:p w14:paraId="38197851" w14:textId="77777777" w:rsidR="00B9327C" w:rsidRPr="00B9327C" w:rsidRDefault="00B9327C" w:rsidP="00B9327C">
      <w:pPr>
        <w:rPr>
          <w:b/>
          <w:bCs/>
        </w:rPr>
      </w:pPr>
      <w:r w:rsidRPr="00B9327C">
        <w:rPr>
          <w:b/>
          <w:bCs/>
        </w:rPr>
        <w:t>Accreditation Opportunity</w:t>
      </w:r>
    </w:p>
    <w:p w14:paraId="44298BF9" w14:textId="77777777" w:rsidR="00B9327C" w:rsidRDefault="00B9327C" w:rsidP="00B9327C"/>
    <w:p w14:paraId="08EBB36A" w14:textId="77777777" w:rsidR="00B9327C" w:rsidRDefault="00B9327C" w:rsidP="00B9327C">
      <w:r>
        <w:t xml:space="preserve">Attendees of </w:t>
      </w:r>
      <w:r w:rsidRPr="00B9327C">
        <w:rPr>
          <w:b/>
          <w:bCs/>
        </w:rPr>
        <w:t xml:space="preserve">both </w:t>
      </w:r>
      <w:r w:rsidRPr="00B9327C">
        <w:t>the Import and Export modules</w:t>
      </w:r>
      <w:r>
        <w:t xml:space="preserve"> have the option to sit the </w:t>
      </w:r>
      <w:r w:rsidRPr="00B9327C">
        <w:rPr>
          <w:b/>
          <w:bCs/>
        </w:rPr>
        <w:t>Customs Clearance Agent Accreditation Exam.</w:t>
      </w:r>
      <w:r>
        <w:t xml:space="preserve"> This formal qualification, certified by APMG (a UKAS-recognised international accreditation body), is the first of its kind in the UK.</w:t>
      </w:r>
    </w:p>
    <w:p w14:paraId="554EA8D2" w14:textId="77777777" w:rsidR="00B9327C" w:rsidRDefault="00B9327C" w:rsidP="00B9327C"/>
    <w:p w14:paraId="5E606AD4" w14:textId="45AF6CC9" w:rsidR="00B9327C" w:rsidRDefault="00B9327C" w:rsidP="00B9327C">
      <w:r>
        <w:t>Additional self-learning may be required to prepare for the exam.</w:t>
      </w:r>
    </w:p>
    <w:p w14:paraId="2828AC90" w14:textId="77777777" w:rsidR="00B9327C" w:rsidRDefault="00B9327C" w:rsidP="00B9327C"/>
    <w:p w14:paraId="00643A31" w14:textId="3051C395" w:rsidR="00B9327C" w:rsidRPr="00B9327C" w:rsidRDefault="00B9327C" w:rsidP="00B9327C">
      <w:pPr>
        <w:rPr>
          <w:b/>
          <w:bCs/>
        </w:rPr>
      </w:pPr>
      <w:r w:rsidRPr="00B9327C">
        <w:rPr>
          <w:b/>
          <w:bCs/>
        </w:rPr>
        <w:t>Delivery</w:t>
      </w:r>
    </w:p>
    <w:p w14:paraId="201913FD" w14:textId="77777777" w:rsidR="00B9327C" w:rsidRDefault="00B9327C" w:rsidP="00B9327C"/>
    <w:p w14:paraId="6507B890" w14:textId="56570AFF" w:rsidR="00B9327C" w:rsidRDefault="00B9327C" w:rsidP="00B9327C">
      <w:r w:rsidRPr="00B9327C">
        <w:t>Online and instructor-led, with hands-on workshops and Q&amp;A sessions.</w:t>
      </w:r>
    </w:p>
    <w:p w14:paraId="04B55904" w14:textId="77777777" w:rsidR="00B9327C" w:rsidRDefault="00B9327C" w:rsidP="00B9327C"/>
    <w:p w14:paraId="4F16CAF2" w14:textId="77777777" w:rsidR="00B9327C" w:rsidRPr="00B9327C" w:rsidRDefault="00B9327C" w:rsidP="00B9327C">
      <w:pPr>
        <w:rPr>
          <w:b/>
          <w:bCs/>
        </w:rPr>
      </w:pPr>
      <w:r w:rsidRPr="00B9327C">
        <w:rPr>
          <w:b/>
          <w:bCs/>
        </w:rPr>
        <w:t>Post-Training Support Packages</w:t>
      </w:r>
    </w:p>
    <w:p w14:paraId="38749662" w14:textId="77777777" w:rsidR="00B9327C" w:rsidRDefault="00B9327C" w:rsidP="00B9327C"/>
    <w:p w14:paraId="6BBA0531" w14:textId="77777777" w:rsidR="00B9327C" w:rsidRDefault="00B9327C" w:rsidP="00B9327C">
      <w:r>
        <w:t>To ensure continued success, we offer optional support packages tailored to your needs:</w:t>
      </w:r>
    </w:p>
    <w:p w14:paraId="5A660F9A" w14:textId="77777777" w:rsidR="00B9327C" w:rsidRDefault="00B9327C" w:rsidP="00B9327C"/>
    <w:p w14:paraId="187168E1" w14:textId="77777777" w:rsidR="00B9327C" w:rsidRDefault="00B9327C" w:rsidP="00B9327C">
      <w:r>
        <w:t>Exam Preparation and Go Live Support Package</w:t>
      </w:r>
    </w:p>
    <w:p w14:paraId="51D142B9" w14:textId="77777777" w:rsidR="00B9327C" w:rsidRDefault="00B9327C" w:rsidP="00B9327C"/>
    <w:p w14:paraId="63F99BE1" w14:textId="77777777" w:rsidR="00B9327C" w:rsidRDefault="00B9327C" w:rsidP="00B9327C">
      <w:pPr>
        <w:pStyle w:val="ListParagraph"/>
        <w:numPr>
          <w:ilvl w:val="0"/>
          <w:numId w:val="12"/>
        </w:numPr>
      </w:pPr>
      <w:r>
        <w:t>8 hours of ticketed support (drawn down in 30-minute blocks) over 12 weeks.</w:t>
      </w:r>
    </w:p>
    <w:p w14:paraId="79DDFD6C" w14:textId="77777777" w:rsidR="00B9327C" w:rsidRDefault="00B9327C" w:rsidP="00B9327C">
      <w:pPr>
        <w:pStyle w:val="ListParagraph"/>
        <w:numPr>
          <w:ilvl w:val="0"/>
          <w:numId w:val="12"/>
        </w:numPr>
      </w:pPr>
      <w:r>
        <w:t>Pre-exam support and live declaration assistance, including topics such as:</w:t>
      </w:r>
    </w:p>
    <w:p w14:paraId="54500DA5" w14:textId="77777777" w:rsidR="00B9327C" w:rsidRDefault="00B9327C" w:rsidP="00B9327C">
      <w:pPr>
        <w:pStyle w:val="ListParagraph"/>
        <w:numPr>
          <w:ilvl w:val="1"/>
          <w:numId w:val="12"/>
        </w:numPr>
      </w:pPr>
      <w:r>
        <w:t>Resolving declaration rejections</w:t>
      </w:r>
    </w:p>
    <w:p w14:paraId="1E28650F" w14:textId="77777777" w:rsidR="00B9327C" w:rsidRDefault="00B9327C" w:rsidP="00B9327C">
      <w:pPr>
        <w:pStyle w:val="ListParagraph"/>
        <w:numPr>
          <w:ilvl w:val="1"/>
          <w:numId w:val="12"/>
        </w:numPr>
      </w:pPr>
      <w:r>
        <w:t>Incoterms and tariff guidance</w:t>
      </w:r>
    </w:p>
    <w:p w14:paraId="0EB9BC6E" w14:textId="77777777" w:rsidR="00B9327C" w:rsidRDefault="00B9327C" w:rsidP="00B9327C">
      <w:pPr>
        <w:pStyle w:val="ListParagraph"/>
        <w:numPr>
          <w:ilvl w:val="1"/>
          <w:numId w:val="12"/>
        </w:numPr>
      </w:pPr>
      <w:r>
        <w:t>Understanding customs procedures and HMRC requirements</w:t>
      </w:r>
    </w:p>
    <w:p w14:paraId="067E827C" w14:textId="01C9DB74" w:rsidR="00B9327C" w:rsidRDefault="00B9327C" w:rsidP="00B9327C">
      <w:pPr>
        <w:pStyle w:val="ListParagraph"/>
        <w:numPr>
          <w:ilvl w:val="0"/>
          <w:numId w:val="12"/>
        </w:numPr>
      </w:pPr>
      <w:r>
        <w:t>Access to post-training materials and our customs software for practising in a test environment.</w:t>
      </w:r>
    </w:p>
    <w:p w14:paraId="2F085545" w14:textId="77777777" w:rsidR="00B9327C" w:rsidRDefault="00B9327C" w:rsidP="00B9327C">
      <w:pPr>
        <w:pStyle w:val="ListParagraph"/>
        <w:numPr>
          <w:ilvl w:val="0"/>
          <w:numId w:val="12"/>
        </w:numPr>
      </w:pPr>
      <w:r>
        <w:t>Sample test exam, syllabus and rationale</w:t>
      </w:r>
    </w:p>
    <w:p w14:paraId="6DBBF4FB" w14:textId="77777777" w:rsidR="00B9327C" w:rsidRDefault="00B9327C" w:rsidP="00B9327C">
      <w:pPr>
        <w:pStyle w:val="ListParagraph"/>
        <w:numPr>
          <w:ilvl w:val="0"/>
          <w:numId w:val="12"/>
        </w:numPr>
      </w:pPr>
      <w:r>
        <w:t>1-2-1 session to discuss sample exam</w:t>
      </w:r>
    </w:p>
    <w:p w14:paraId="5EB234DF" w14:textId="77777777" w:rsidR="00B9327C" w:rsidRDefault="00B9327C" w:rsidP="00B9327C">
      <w:pPr>
        <w:pStyle w:val="ListParagraph"/>
        <w:numPr>
          <w:ilvl w:val="0"/>
          <w:numId w:val="12"/>
        </w:numPr>
      </w:pPr>
      <w:r>
        <w:t>Exam</w:t>
      </w:r>
    </w:p>
    <w:p w14:paraId="27C6B7E7" w14:textId="77777777" w:rsidR="00B9327C" w:rsidRDefault="00B9327C" w:rsidP="00B9327C"/>
    <w:tbl>
      <w:tblPr>
        <w:tblStyle w:val="TableGrid"/>
        <w:tblW w:w="9493" w:type="dxa"/>
        <w:tblLook w:val="04A0" w:firstRow="1" w:lastRow="0" w:firstColumn="1" w:lastColumn="0" w:noHBand="0" w:noVBand="1"/>
      </w:tblPr>
      <w:tblGrid>
        <w:gridCol w:w="4815"/>
        <w:gridCol w:w="2126"/>
        <w:gridCol w:w="2552"/>
      </w:tblGrid>
      <w:tr w:rsidR="002D2F2B" w:rsidRPr="001F7B08" w14:paraId="3AAD1D81" w14:textId="77777777" w:rsidTr="002404CF">
        <w:tc>
          <w:tcPr>
            <w:tcW w:w="4815" w:type="dxa"/>
            <w:shd w:val="clear" w:color="auto" w:fill="417F91"/>
          </w:tcPr>
          <w:p w14:paraId="72B875BD" w14:textId="77777777" w:rsidR="002D2F2B" w:rsidRPr="001F7B08" w:rsidRDefault="002D2F2B" w:rsidP="002404CF">
            <w:pPr>
              <w:rPr>
                <w:b/>
                <w:bCs/>
                <w:color w:val="FFFFFF" w:themeColor="background1"/>
                <w:sz w:val="22"/>
                <w:szCs w:val="22"/>
              </w:rPr>
            </w:pPr>
            <w:r w:rsidRPr="001F7B08">
              <w:rPr>
                <w:b/>
                <w:bCs/>
                <w:color w:val="FFFFFF" w:themeColor="background1"/>
                <w:sz w:val="22"/>
                <w:szCs w:val="22"/>
              </w:rPr>
              <w:t>Training and Support Options</w:t>
            </w:r>
          </w:p>
        </w:tc>
        <w:tc>
          <w:tcPr>
            <w:tcW w:w="2126" w:type="dxa"/>
            <w:shd w:val="clear" w:color="auto" w:fill="417F91"/>
          </w:tcPr>
          <w:p w14:paraId="2989D896" w14:textId="77777777" w:rsidR="002D2F2B" w:rsidRPr="001F7B08" w:rsidRDefault="002D2F2B" w:rsidP="002404CF">
            <w:pPr>
              <w:jc w:val="center"/>
              <w:rPr>
                <w:b/>
                <w:bCs/>
                <w:color w:val="FFFFFF" w:themeColor="background1"/>
                <w:sz w:val="22"/>
                <w:szCs w:val="22"/>
              </w:rPr>
            </w:pPr>
            <w:r w:rsidRPr="001F7B08">
              <w:rPr>
                <w:b/>
                <w:bCs/>
                <w:color w:val="FFFFFF" w:themeColor="background1"/>
                <w:sz w:val="22"/>
                <w:szCs w:val="22"/>
              </w:rPr>
              <w:t>Chamber Member</w:t>
            </w:r>
          </w:p>
        </w:tc>
        <w:tc>
          <w:tcPr>
            <w:tcW w:w="2552" w:type="dxa"/>
            <w:shd w:val="clear" w:color="auto" w:fill="417F91"/>
          </w:tcPr>
          <w:p w14:paraId="2846AED0" w14:textId="77777777" w:rsidR="002D2F2B" w:rsidRPr="001F7B08" w:rsidRDefault="002D2F2B" w:rsidP="002404CF">
            <w:pPr>
              <w:jc w:val="center"/>
              <w:rPr>
                <w:b/>
                <w:bCs/>
                <w:color w:val="FFFFFF" w:themeColor="background1"/>
                <w:sz w:val="22"/>
                <w:szCs w:val="22"/>
              </w:rPr>
            </w:pPr>
            <w:r w:rsidRPr="001F7B08">
              <w:rPr>
                <w:b/>
                <w:bCs/>
                <w:color w:val="FFFFFF" w:themeColor="background1"/>
                <w:sz w:val="22"/>
                <w:szCs w:val="22"/>
              </w:rPr>
              <w:t>Non-Member</w:t>
            </w:r>
          </w:p>
        </w:tc>
      </w:tr>
      <w:tr w:rsidR="002D2F2B" w:rsidRPr="00BD2EA1" w14:paraId="2E58928F" w14:textId="77777777" w:rsidTr="002404CF">
        <w:tc>
          <w:tcPr>
            <w:tcW w:w="4815" w:type="dxa"/>
            <w:shd w:val="clear" w:color="auto" w:fill="E9EDEF"/>
          </w:tcPr>
          <w:p w14:paraId="1E51C3B1" w14:textId="77777777" w:rsidR="002D2F2B" w:rsidRPr="00BD2EA1" w:rsidRDefault="002D2F2B" w:rsidP="002404CF">
            <w:pPr>
              <w:rPr>
                <w:sz w:val="22"/>
                <w:szCs w:val="22"/>
              </w:rPr>
            </w:pPr>
            <w:r>
              <w:rPr>
                <w:sz w:val="22"/>
                <w:szCs w:val="22"/>
              </w:rPr>
              <w:t xml:space="preserve">4-Day </w:t>
            </w:r>
            <w:r w:rsidRPr="00BD2EA1">
              <w:rPr>
                <w:sz w:val="22"/>
                <w:szCs w:val="22"/>
              </w:rPr>
              <w:t>CDS Customs Clearance</w:t>
            </w:r>
            <w:r>
              <w:rPr>
                <w:sz w:val="22"/>
                <w:szCs w:val="22"/>
              </w:rPr>
              <w:t xml:space="preserve"> (Import and Export)</w:t>
            </w:r>
          </w:p>
        </w:tc>
        <w:tc>
          <w:tcPr>
            <w:tcW w:w="2126" w:type="dxa"/>
            <w:shd w:val="clear" w:color="auto" w:fill="E9EDEF"/>
          </w:tcPr>
          <w:p w14:paraId="41CD315F" w14:textId="77777777" w:rsidR="002D2F2B" w:rsidRPr="00BD2EA1" w:rsidRDefault="002D2F2B" w:rsidP="002404CF">
            <w:pPr>
              <w:jc w:val="center"/>
              <w:rPr>
                <w:sz w:val="22"/>
                <w:szCs w:val="22"/>
              </w:rPr>
            </w:pPr>
            <w:r w:rsidRPr="00BD2EA1">
              <w:rPr>
                <w:sz w:val="22"/>
                <w:szCs w:val="22"/>
              </w:rPr>
              <w:t>£</w:t>
            </w:r>
            <w:r>
              <w:rPr>
                <w:sz w:val="22"/>
                <w:szCs w:val="22"/>
              </w:rPr>
              <w:t>3,250</w:t>
            </w:r>
            <w:r w:rsidRPr="00BD2EA1">
              <w:rPr>
                <w:sz w:val="22"/>
                <w:szCs w:val="22"/>
              </w:rPr>
              <w:t xml:space="preserve"> + VAT</w:t>
            </w:r>
          </w:p>
        </w:tc>
        <w:tc>
          <w:tcPr>
            <w:tcW w:w="2552" w:type="dxa"/>
            <w:shd w:val="clear" w:color="auto" w:fill="E9EDEF"/>
          </w:tcPr>
          <w:p w14:paraId="77EBDBB4" w14:textId="77777777" w:rsidR="002D2F2B" w:rsidRPr="00BD2EA1" w:rsidRDefault="002D2F2B" w:rsidP="002404CF">
            <w:pPr>
              <w:jc w:val="center"/>
              <w:rPr>
                <w:sz w:val="22"/>
                <w:szCs w:val="22"/>
              </w:rPr>
            </w:pPr>
            <w:r w:rsidRPr="00BD2EA1">
              <w:rPr>
                <w:sz w:val="22"/>
                <w:szCs w:val="22"/>
              </w:rPr>
              <w:t>£</w:t>
            </w:r>
            <w:r>
              <w:rPr>
                <w:sz w:val="22"/>
                <w:szCs w:val="22"/>
              </w:rPr>
              <w:t>4,000</w:t>
            </w:r>
            <w:r w:rsidRPr="00BD2EA1">
              <w:rPr>
                <w:sz w:val="22"/>
                <w:szCs w:val="22"/>
              </w:rPr>
              <w:t xml:space="preserve"> + VAT</w:t>
            </w:r>
          </w:p>
        </w:tc>
      </w:tr>
      <w:tr w:rsidR="002D2F2B" w:rsidRPr="00BD2EA1" w14:paraId="2620DEDF" w14:textId="77777777" w:rsidTr="002404CF">
        <w:tc>
          <w:tcPr>
            <w:tcW w:w="4815" w:type="dxa"/>
          </w:tcPr>
          <w:p w14:paraId="16FB4FB1" w14:textId="77777777" w:rsidR="002D2F2B" w:rsidRPr="00BD2EA1" w:rsidRDefault="002D2F2B" w:rsidP="002404CF">
            <w:pPr>
              <w:rPr>
                <w:sz w:val="22"/>
                <w:szCs w:val="22"/>
              </w:rPr>
            </w:pPr>
            <w:r>
              <w:rPr>
                <w:sz w:val="22"/>
                <w:szCs w:val="22"/>
              </w:rPr>
              <w:t xml:space="preserve">2-Day </w:t>
            </w:r>
            <w:r w:rsidRPr="00BD2EA1">
              <w:rPr>
                <w:sz w:val="22"/>
                <w:szCs w:val="22"/>
              </w:rPr>
              <w:t>CDS Customs Clearance</w:t>
            </w:r>
            <w:r>
              <w:rPr>
                <w:sz w:val="22"/>
                <w:szCs w:val="22"/>
              </w:rPr>
              <w:t xml:space="preserve"> (Export)</w:t>
            </w:r>
          </w:p>
        </w:tc>
        <w:tc>
          <w:tcPr>
            <w:tcW w:w="2126" w:type="dxa"/>
          </w:tcPr>
          <w:p w14:paraId="422D07AD" w14:textId="77777777" w:rsidR="002D2F2B" w:rsidRPr="00BD2EA1" w:rsidRDefault="002D2F2B" w:rsidP="002404CF">
            <w:pPr>
              <w:jc w:val="center"/>
              <w:rPr>
                <w:sz w:val="22"/>
                <w:szCs w:val="22"/>
              </w:rPr>
            </w:pPr>
            <w:r>
              <w:rPr>
                <w:sz w:val="22"/>
                <w:szCs w:val="22"/>
              </w:rPr>
              <w:t>£1,625 + VAT</w:t>
            </w:r>
          </w:p>
        </w:tc>
        <w:tc>
          <w:tcPr>
            <w:tcW w:w="2552" w:type="dxa"/>
          </w:tcPr>
          <w:p w14:paraId="548C5189" w14:textId="77777777" w:rsidR="002D2F2B" w:rsidRPr="00BD2EA1" w:rsidRDefault="002D2F2B" w:rsidP="002404CF">
            <w:pPr>
              <w:jc w:val="center"/>
              <w:rPr>
                <w:sz w:val="22"/>
                <w:szCs w:val="22"/>
              </w:rPr>
            </w:pPr>
            <w:r w:rsidRPr="00BD2EA1">
              <w:rPr>
                <w:sz w:val="22"/>
                <w:szCs w:val="22"/>
              </w:rPr>
              <w:t>£</w:t>
            </w:r>
            <w:r>
              <w:rPr>
                <w:sz w:val="22"/>
                <w:szCs w:val="22"/>
              </w:rPr>
              <w:t>2,000 + VAT</w:t>
            </w:r>
          </w:p>
        </w:tc>
      </w:tr>
      <w:tr w:rsidR="002D2F2B" w:rsidRPr="00BD2EA1" w14:paraId="54144F21" w14:textId="77777777" w:rsidTr="002404CF">
        <w:tc>
          <w:tcPr>
            <w:tcW w:w="4815" w:type="dxa"/>
            <w:shd w:val="clear" w:color="auto" w:fill="E9EDEF"/>
          </w:tcPr>
          <w:p w14:paraId="5612CC47" w14:textId="77777777" w:rsidR="002D2F2B" w:rsidRPr="00BD2EA1" w:rsidRDefault="002D2F2B" w:rsidP="002404CF">
            <w:pPr>
              <w:rPr>
                <w:sz w:val="22"/>
                <w:szCs w:val="22"/>
              </w:rPr>
            </w:pPr>
            <w:r w:rsidRPr="00BD2EA1">
              <w:rPr>
                <w:sz w:val="22"/>
                <w:szCs w:val="22"/>
              </w:rPr>
              <w:t xml:space="preserve">Exam </w:t>
            </w:r>
            <w:r>
              <w:rPr>
                <w:sz w:val="22"/>
                <w:szCs w:val="22"/>
              </w:rPr>
              <w:t>(purchased alongside training course)</w:t>
            </w:r>
          </w:p>
        </w:tc>
        <w:tc>
          <w:tcPr>
            <w:tcW w:w="2126" w:type="dxa"/>
            <w:shd w:val="clear" w:color="auto" w:fill="E9EDEF"/>
          </w:tcPr>
          <w:p w14:paraId="2A33B3A2" w14:textId="77777777" w:rsidR="002D2F2B" w:rsidRPr="00BD2EA1" w:rsidRDefault="002D2F2B" w:rsidP="002404CF">
            <w:pPr>
              <w:jc w:val="center"/>
              <w:rPr>
                <w:sz w:val="22"/>
                <w:szCs w:val="22"/>
              </w:rPr>
            </w:pPr>
            <w:r w:rsidRPr="00BD2EA1">
              <w:rPr>
                <w:sz w:val="22"/>
                <w:szCs w:val="22"/>
              </w:rPr>
              <w:t>£300</w:t>
            </w:r>
            <w:r>
              <w:rPr>
                <w:sz w:val="22"/>
                <w:szCs w:val="22"/>
              </w:rPr>
              <w:t xml:space="preserve"> + VAT</w:t>
            </w:r>
          </w:p>
        </w:tc>
        <w:tc>
          <w:tcPr>
            <w:tcW w:w="2552" w:type="dxa"/>
            <w:shd w:val="clear" w:color="auto" w:fill="E9EDEF"/>
          </w:tcPr>
          <w:p w14:paraId="1C7F20A6" w14:textId="77777777" w:rsidR="002D2F2B" w:rsidRPr="00BD2EA1" w:rsidRDefault="002D2F2B" w:rsidP="002404CF">
            <w:pPr>
              <w:jc w:val="center"/>
              <w:rPr>
                <w:sz w:val="22"/>
                <w:szCs w:val="22"/>
              </w:rPr>
            </w:pPr>
            <w:r w:rsidRPr="00BD2EA1">
              <w:rPr>
                <w:sz w:val="22"/>
                <w:szCs w:val="22"/>
              </w:rPr>
              <w:t>£300</w:t>
            </w:r>
            <w:r>
              <w:rPr>
                <w:sz w:val="22"/>
                <w:szCs w:val="22"/>
              </w:rPr>
              <w:t xml:space="preserve"> + VAT</w:t>
            </w:r>
          </w:p>
        </w:tc>
      </w:tr>
      <w:tr w:rsidR="002D2F2B" w:rsidRPr="00BD2EA1" w14:paraId="75FB1EA9" w14:textId="77777777" w:rsidTr="002404CF">
        <w:tc>
          <w:tcPr>
            <w:tcW w:w="4815" w:type="dxa"/>
            <w:shd w:val="clear" w:color="auto" w:fill="auto"/>
          </w:tcPr>
          <w:p w14:paraId="2A2C8220" w14:textId="77777777" w:rsidR="002D2F2B" w:rsidRPr="00BD2EA1" w:rsidRDefault="002D2F2B" w:rsidP="002404CF">
            <w:pPr>
              <w:rPr>
                <w:sz w:val="22"/>
                <w:szCs w:val="22"/>
              </w:rPr>
            </w:pPr>
            <w:r w:rsidRPr="00BD2EA1">
              <w:rPr>
                <w:sz w:val="22"/>
                <w:szCs w:val="22"/>
              </w:rPr>
              <w:t>Exam only</w:t>
            </w:r>
          </w:p>
        </w:tc>
        <w:tc>
          <w:tcPr>
            <w:tcW w:w="2126" w:type="dxa"/>
            <w:shd w:val="clear" w:color="auto" w:fill="auto"/>
          </w:tcPr>
          <w:p w14:paraId="0888D700" w14:textId="77777777" w:rsidR="002D2F2B" w:rsidRPr="00BD2EA1" w:rsidRDefault="002D2F2B" w:rsidP="002404CF">
            <w:pPr>
              <w:jc w:val="center"/>
              <w:rPr>
                <w:sz w:val="22"/>
                <w:szCs w:val="22"/>
              </w:rPr>
            </w:pPr>
            <w:r w:rsidRPr="00BD2EA1">
              <w:rPr>
                <w:sz w:val="22"/>
                <w:szCs w:val="22"/>
              </w:rPr>
              <w:t>£3</w:t>
            </w:r>
            <w:r>
              <w:rPr>
                <w:sz w:val="22"/>
                <w:szCs w:val="22"/>
              </w:rPr>
              <w:t>95 + VAT</w:t>
            </w:r>
          </w:p>
        </w:tc>
        <w:tc>
          <w:tcPr>
            <w:tcW w:w="2552" w:type="dxa"/>
            <w:shd w:val="clear" w:color="auto" w:fill="auto"/>
          </w:tcPr>
          <w:p w14:paraId="04ACD885" w14:textId="77777777" w:rsidR="002D2F2B" w:rsidRPr="00BD2EA1" w:rsidRDefault="002D2F2B" w:rsidP="002404CF">
            <w:pPr>
              <w:jc w:val="center"/>
              <w:rPr>
                <w:sz w:val="22"/>
                <w:szCs w:val="22"/>
              </w:rPr>
            </w:pPr>
            <w:r w:rsidRPr="00BD2EA1">
              <w:rPr>
                <w:sz w:val="22"/>
                <w:szCs w:val="22"/>
              </w:rPr>
              <w:t>£3</w:t>
            </w:r>
            <w:r>
              <w:rPr>
                <w:sz w:val="22"/>
                <w:szCs w:val="22"/>
              </w:rPr>
              <w:t>95 + VAT</w:t>
            </w:r>
          </w:p>
        </w:tc>
      </w:tr>
      <w:tr w:rsidR="002D2F2B" w14:paraId="3DB2234E" w14:textId="77777777" w:rsidTr="002404CF">
        <w:tc>
          <w:tcPr>
            <w:tcW w:w="4815" w:type="dxa"/>
            <w:shd w:val="clear" w:color="auto" w:fill="EAEEF0"/>
          </w:tcPr>
          <w:p w14:paraId="3DD42A03" w14:textId="77777777" w:rsidR="002D2F2B" w:rsidRDefault="002D2F2B" w:rsidP="002404CF">
            <w:pPr>
              <w:rPr>
                <w:sz w:val="22"/>
                <w:szCs w:val="22"/>
              </w:rPr>
            </w:pPr>
            <w:r>
              <w:rPr>
                <w:sz w:val="22"/>
                <w:szCs w:val="22"/>
              </w:rPr>
              <w:t>Support Package</w:t>
            </w:r>
          </w:p>
        </w:tc>
        <w:tc>
          <w:tcPr>
            <w:tcW w:w="2126" w:type="dxa"/>
            <w:shd w:val="clear" w:color="auto" w:fill="EAEEF0"/>
          </w:tcPr>
          <w:p w14:paraId="0F5C8F3B" w14:textId="77777777" w:rsidR="002D2F2B" w:rsidRDefault="002D2F2B" w:rsidP="002404CF">
            <w:pPr>
              <w:jc w:val="center"/>
              <w:rPr>
                <w:sz w:val="22"/>
                <w:szCs w:val="22"/>
              </w:rPr>
            </w:pPr>
            <w:r>
              <w:rPr>
                <w:sz w:val="22"/>
                <w:szCs w:val="22"/>
              </w:rPr>
              <w:t>£800 + VAT</w:t>
            </w:r>
          </w:p>
        </w:tc>
        <w:tc>
          <w:tcPr>
            <w:tcW w:w="2552" w:type="dxa"/>
            <w:shd w:val="clear" w:color="auto" w:fill="EAEEF0"/>
          </w:tcPr>
          <w:p w14:paraId="6CEF919D" w14:textId="77777777" w:rsidR="002D2F2B" w:rsidRDefault="002D2F2B" w:rsidP="002404CF">
            <w:pPr>
              <w:jc w:val="center"/>
              <w:rPr>
                <w:sz w:val="22"/>
                <w:szCs w:val="22"/>
              </w:rPr>
            </w:pPr>
            <w:r>
              <w:rPr>
                <w:sz w:val="22"/>
                <w:szCs w:val="22"/>
              </w:rPr>
              <w:t>£1,100 + VAT</w:t>
            </w:r>
          </w:p>
        </w:tc>
      </w:tr>
      <w:tr w:rsidR="002D2F2B" w14:paraId="3943AE4F" w14:textId="77777777" w:rsidTr="002404CF">
        <w:tc>
          <w:tcPr>
            <w:tcW w:w="4815" w:type="dxa"/>
            <w:shd w:val="clear" w:color="auto" w:fill="auto"/>
          </w:tcPr>
          <w:p w14:paraId="76013722" w14:textId="77777777" w:rsidR="002D2F2B" w:rsidRDefault="002D2F2B" w:rsidP="002404CF">
            <w:pPr>
              <w:rPr>
                <w:sz w:val="22"/>
                <w:szCs w:val="22"/>
              </w:rPr>
            </w:pPr>
            <w:r>
              <w:rPr>
                <w:sz w:val="22"/>
                <w:szCs w:val="22"/>
              </w:rPr>
              <w:t>Exam and Support Package</w:t>
            </w:r>
          </w:p>
        </w:tc>
        <w:tc>
          <w:tcPr>
            <w:tcW w:w="2126" w:type="dxa"/>
            <w:shd w:val="clear" w:color="auto" w:fill="auto"/>
          </w:tcPr>
          <w:p w14:paraId="27ACFE5A" w14:textId="77777777" w:rsidR="002D2F2B" w:rsidRDefault="002D2F2B" w:rsidP="002404CF">
            <w:pPr>
              <w:jc w:val="center"/>
              <w:rPr>
                <w:sz w:val="22"/>
                <w:szCs w:val="22"/>
              </w:rPr>
            </w:pPr>
            <w:r>
              <w:rPr>
                <w:sz w:val="22"/>
                <w:szCs w:val="22"/>
              </w:rPr>
              <w:t>£1,000 + VAT</w:t>
            </w:r>
          </w:p>
        </w:tc>
        <w:tc>
          <w:tcPr>
            <w:tcW w:w="2552" w:type="dxa"/>
            <w:shd w:val="clear" w:color="auto" w:fill="auto"/>
          </w:tcPr>
          <w:p w14:paraId="32A684DC" w14:textId="77777777" w:rsidR="002D2F2B" w:rsidRDefault="002D2F2B" w:rsidP="002404CF">
            <w:pPr>
              <w:jc w:val="center"/>
              <w:rPr>
                <w:sz w:val="22"/>
                <w:szCs w:val="22"/>
              </w:rPr>
            </w:pPr>
            <w:r>
              <w:rPr>
                <w:sz w:val="22"/>
                <w:szCs w:val="22"/>
              </w:rPr>
              <w:t>£1,195 + VAT</w:t>
            </w:r>
          </w:p>
        </w:tc>
      </w:tr>
    </w:tbl>
    <w:p w14:paraId="4565F6D3" w14:textId="77777777" w:rsidR="00B9327C" w:rsidRDefault="00B9327C" w:rsidP="00B9327C"/>
    <w:sectPr w:rsidR="00B93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64124"/>
    <w:multiLevelType w:val="hybridMultilevel"/>
    <w:tmpl w:val="A93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577C9"/>
    <w:multiLevelType w:val="hybridMultilevel"/>
    <w:tmpl w:val="5DEE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91FBF"/>
    <w:multiLevelType w:val="hybridMultilevel"/>
    <w:tmpl w:val="463A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734273"/>
    <w:multiLevelType w:val="hybridMultilevel"/>
    <w:tmpl w:val="3D0EA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524A2"/>
    <w:multiLevelType w:val="multilevel"/>
    <w:tmpl w:val="3EF6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6B048D"/>
    <w:multiLevelType w:val="hybridMultilevel"/>
    <w:tmpl w:val="7BF4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46E6"/>
    <w:multiLevelType w:val="hybridMultilevel"/>
    <w:tmpl w:val="5F76A04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A5450C"/>
    <w:multiLevelType w:val="hybridMultilevel"/>
    <w:tmpl w:val="2ECA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D602B7"/>
    <w:multiLevelType w:val="hybridMultilevel"/>
    <w:tmpl w:val="CDD03B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D514AA"/>
    <w:multiLevelType w:val="multilevel"/>
    <w:tmpl w:val="F9DA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84484"/>
    <w:multiLevelType w:val="hybridMultilevel"/>
    <w:tmpl w:val="758C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F377E"/>
    <w:multiLevelType w:val="multilevel"/>
    <w:tmpl w:val="2980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A5AE4"/>
    <w:multiLevelType w:val="hybridMultilevel"/>
    <w:tmpl w:val="2FE0F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989925">
    <w:abstractNumId w:val="4"/>
  </w:num>
  <w:num w:numId="2" w16cid:durableId="1837260895">
    <w:abstractNumId w:val="9"/>
  </w:num>
  <w:num w:numId="3" w16cid:durableId="1856185390">
    <w:abstractNumId w:val="5"/>
  </w:num>
  <w:num w:numId="4" w16cid:durableId="857164260">
    <w:abstractNumId w:val="10"/>
  </w:num>
  <w:num w:numId="5" w16cid:durableId="515005488">
    <w:abstractNumId w:val="8"/>
  </w:num>
  <w:num w:numId="6" w16cid:durableId="474878038">
    <w:abstractNumId w:val="7"/>
  </w:num>
  <w:num w:numId="7" w16cid:durableId="1785346012">
    <w:abstractNumId w:val="2"/>
  </w:num>
  <w:num w:numId="8" w16cid:durableId="1940336230">
    <w:abstractNumId w:val="11"/>
  </w:num>
  <w:num w:numId="9" w16cid:durableId="256333537">
    <w:abstractNumId w:val="1"/>
  </w:num>
  <w:num w:numId="10" w16cid:durableId="1228762879">
    <w:abstractNumId w:val="12"/>
  </w:num>
  <w:num w:numId="11" w16cid:durableId="534737371">
    <w:abstractNumId w:val="6"/>
  </w:num>
  <w:num w:numId="12" w16cid:durableId="1068768405">
    <w:abstractNumId w:val="3"/>
  </w:num>
  <w:num w:numId="13" w16cid:durableId="14884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7C"/>
    <w:rsid w:val="002114F7"/>
    <w:rsid w:val="002D2F2B"/>
    <w:rsid w:val="004A0625"/>
    <w:rsid w:val="008977C8"/>
    <w:rsid w:val="00913312"/>
    <w:rsid w:val="0096286E"/>
    <w:rsid w:val="009F5B4A"/>
    <w:rsid w:val="00B9327C"/>
    <w:rsid w:val="00BA7B01"/>
    <w:rsid w:val="00F95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7C9C"/>
  <w15:chartTrackingRefBased/>
  <w15:docId w15:val="{3A269E6D-B51D-CC4C-AD81-871B127A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B01"/>
    <w:rPr>
      <w:sz w:val="21"/>
    </w:rPr>
  </w:style>
  <w:style w:type="paragraph" w:styleId="Heading1">
    <w:name w:val="heading 1"/>
    <w:basedOn w:val="Normal"/>
    <w:next w:val="Normal"/>
    <w:link w:val="Heading1Char"/>
    <w:uiPriority w:val="9"/>
    <w:qFormat/>
    <w:rsid w:val="00BA7B01"/>
    <w:pPr>
      <w:keepNext/>
      <w:keepLines/>
      <w:outlineLvl w:val="0"/>
    </w:pPr>
    <w:rPr>
      <w:rFonts w:asciiTheme="majorHAnsi" w:eastAsiaTheme="majorEastAsia" w:hAnsiTheme="majorHAnsi" w:cstheme="majorBidi"/>
      <w:b/>
      <w:bCs/>
      <w:color w:val="1B718A"/>
      <w:spacing w:val="20"/>
      <w:sz w:val="32"/>
      <w:szCs w:val="28"/>
    </w:rPr>
  </w:style>
  <w:style w:type="paragraph" w:styleId="Heading2">
    <w:name w:val="heading 2"/>
    <w:basedOn w:val="Normal"/>
    <w:next w:val="Normal"/>
    <w:link w:val="Heading2Char"/>
    <w:uiPriority w:val="9"/>
    <w:unhideWhenUsed/>
    <w:qFormat/>
    <w:rsid w:val="00BA7B01"/>
    <w:pPr>
      <w:keepNext/>
      <w:keepLines/>
      <w:outlineLvl w:val="1"/>
    </w:pPr>
    <w:rPr>
      <w:rFonts w:eastAsiaTheme="majorEastAsia" w:cstheme="majorBidi"/>
      <w:b/>
      <w:bCs/>
      <w:color w:val="A1B8BF"/>
      <w:sz w:val="28"/>
      <w:szCs w:val="26"/>
    </w:rPr>
  </w:style>
  <w:style w:type="paragraph" w:styleId="Heading3">
    <w:name w:val="heading 3"/>
    <w:basedOn w:val="Normal"/>
    <w:next w:val="Normal"/>
    <w:link w:val="Heading3Char"/>
    <w:uiPriority w:val="9"/>
    <w:unhideWhenUsed/>
    <w:qFormat/>
    <w:rsid w:val="00BA7B01"/>
    <w:pPr>
      <w:keepNext/>
      <w:keepLines/>
      <w:spacing w:before="20"/>
      <w:outlineLvl w:val="2"/>
    </w:pPr>
    <w:rPr>
      <w:rFonts w:asciiTheme="majorHAnsi" w:eastAsiaTheme="majorEastAsia" w:hAnsiTheme="majorHAnsi" w:cstheme="majorBidi"/>
      <w:bCs/>
      <w:color w:val="5E5E5E" w:themeColor="text2"/>
      <w:spacing w:val="14"/>
      <w:sz w:val="24"/>
    </w:rPr>
  </w:style>
  <w:style w:type="paragraph" w:styleId="Heading4">
    <w:name w:val="heading 4"/>
    <w:basedOn w:val="Normal"/>
    <w:next w:val="Normal"/>
    <w:link w:val="Heading4Char"/>
    <w:uiPriority w:val="9"/>
    <w:semiHidden/>
    <w:unhideWhenUsed/>
    <w:qFormat/>
    <w:rsid w:val="00BA7B01"/>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BA7B01"/>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BA7B01"/>
    <w:pPr>
      <w:keepNext/>
      <w:keepLines/>
      <w:spacing w:before="200"/>
      <w:outlineLvl w:val="5"/>
    </w:pPr>
    <w:rPr>
      <w:rFonts w:asciiTheme="majorHAnsi" w:eastAsiaTheme="majorEastAsia" w:hAnsiTheme="majorHAnsi" w:cstheme="majorBidi"/>
      <w:iCs/>
      <w:color w:val="00A2FF" w:themeColor="accent1"/>
      <w:sz w:val="22"/>
    </w:rPr>
  </w:style>
  <w:style w:type="paragraph" w:styleId="Heading7">
    <w:name w:val="heading 7"/>
    <w:basedOn w:val="Normal"/>
    <w:next w:val="Normal"/>
    <w:link w:val="Heading7Char"/>
    <w:uiPriority w:val="9"/>
    <w:semiHidden/>
    <w:unhideWhenUsed/>
    <w:qFormat/>
    <w:rsid w:val="00BA7B01"/>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BA7B01"/>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A7B01"/>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BA7B01"/>
    <w:rPr>
      <w:b/>
      <w:caps/>
      <w:color w:val="000000"/>
      <w:sz w:val="28"/>
      <w:szCs w:val="28"/>
    </w:rPr>
  </w:style>
  <w:style w:type="paragraph" w:styleId="Title">
    <w:name w:val="Title"/>
    <w:basedOn w:val="Normal"/>
    <w:next w:val="Normal"/>
    <w:link w:val="TitleChar"/>
    <w:uiPriority w:val="10"/>
    <w:qFormat/>
    <w:rsid w:val="00BA7B01"/>
    <w:pPr>
      <w:contextualSpacing/>
    </w:pPr>
    <w:rPr>
      <w:rFonts w:asciiTheme="majorHAnsi" w:eastAsiaTheme="majorEastAsia" w:hAnsiTheme="majorHAnsi" w:cstheme="majorBidi"/>
      <w:color w:val="1E2C42"/>
      <w:spacing w:val="30"/>
      <w:kern w:val="28"/>
      <w:sz w:val="96"/>
      <w:szCs w:val="52"/>
    </w:rPr>
  </w:style>
  <w:style w:type="character" w:customStyle="1" w:styleId="TitleChar">
    <w:name w:val="Title Char"/>
    <w:basedOn w:val="DefaultParagraphFont"/>
    <w:link w:val="Title"/>
    <w:uiPriority w:val="10"/>
    <w:rsid w:val="00BA7B01"/>
    <w:rPr>
      <w:rFonts w:asciiTheme="majorHAnsi" w:eastAsiaTheme="majorEastAsia" w:hAnsiTheme="majorHAnsi" w:cstheme="majorBidi"/>
      <w:color w:val="1E2C42"/>
      <w:spacing w:val="30"/>
      <w:kern w:val="28"/>
      <w:sz w:val="96"/>
      <w:szCs w:val="52"/>
    </w:rPr>
  </w:style>
  <w:style w:type="character" w:customStyle="1" w:styleId="Heading1Char">
    <w:name w:val="Heading 1 Char"/>
    <w:basedOn w:val="DefaultParagraphFont"/>
    <w:link w:val="Heading1"/>
    <w:uiPriority w:val="9"/>
    <w:rsid w:val="00BA7B01"/>
    <w:rPr>
      <w:rFonts w:asciiTheme="majorHAnsi" w:eastAsiaTheme="majorEastAsia" w:hAnsiTheme="majorHAnsi" w:cstheme="majorBidi"/>
      <w:b/>
      <w:bCs/>
      <w:color w:val="1B718A"/>
      <w:spacing w:val="20"/>
      <w:sz w:val="32"/>
      <w:szCs w:val="28"/>
    </w:rPr>
  </w:style>
  <w:style w:type="character" w:customStyle="1" w:styleId="Heading2Char">
    <w:name w:val="Heading 2 Char"/>
    <w:basedOn w:val="DefaultParagraphFont"/>
    <w:link w:val="Heading2"/>
    <w:uiPriority w:val="9"/>
    <w:rsid w:val="00BA7B01"/>
    <w:rPr>
      <w:rFonts w:eastAsiaTheme="majorEastAsia" w:cstheme="majorBidi"/>
      <w:b/>
      <w:bCs/>
      <w:color w:val="A1B8BF"/>
      <w:sz w:val="28"/>
      <w:szCs w:val="26"/>
    </w:rPr>
  </w:style>
  <w:style w:type="character" w:customStyle="1" w:styleId="Heading3Char">
    <w:name w:val="Heading 3 Char"/>
    <w:basedOn w:val="DefaultParagraphFont"/>
    <w:link w:val="Heading3"/>
    <w:uiPriority w:val="9"/>
    <w:rsid w:val="00BA7B01"/>
    <w:rPr>
      <w:rFonts w:asciiTheme="majorHAnsi" w:eastAsiaTheme="majorEastAsia" w:hAnsiTheme="majorHAnsi" w:cstheme="majorBidi"/>
      <w:bCs/>
      <w:color w:val="5E5E5E" w:themeColor="text2"/>
      <w:spacing w:val="14"/>
      <w:sz w:val="24"/>
    </w:rPr>
  </w:style>
  <w:style w:type="character" w:customStyle="1" w:styleId="Heading4Char">
    <w:name w:val="Heading 4 Char"/>
    <w:basedOn w:val="DefaultParagraphFont"/>
    <w:link w:val="Heading4"/>
    <w:uiPriority w:val="9"/>
    <w:semiHidden/>
    <w:rsid w:val="00BA7B01"/>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BA7B01"/>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BA7B01"/>
    <w:rPr>
      <w:rFonts w:asciiTheme="majorHAnsi" w:eastAsiaTheme="majorEastAsia" w:hAnsiTheme="majorHAnsi" w:cstheme="majorBidi"/>
      <w:iCs/>
      <w:color w:val="00A2FF" w:themeColor="accent1"/>
    </w:rPr>
  </w:style>
  <w:style w:type="character" w:customStyle="1" w:styleId="Heading7Char">
    <w:name w:val="Heading 7 Char"/>
    <w:basedOn w:val="DefaultParagraphFont"/>
    <w:link w:val="Heading7"/>
    <w:uiPriority w:val="9"/>
    <w:semiHidden/>
    <w:rsid w:val="00BA7B01"/>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BA7B01"/>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A7B01"/>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A7B01"/>
    <w:rPr>
      <w:rFonts w:asciiTheme="majorHAnsi" w:eastAsiaTheme="minorEastAsia" w:hAnsiTheme="majorHAnsi"/>
      <w:bCs/>
      <w:smallCaps/>
      <w:color w:val="5E5E5E" w:themeColor="text2"/>
      <w:spacing w:val="6"/>
      <w:sz w:val="22"/>
      <w:szCs w:val="18"/>
    </w:rPr>
  </w:style>
  <w:style w:type="paragraph" w:styleId="Subtitle">
    <w:name w:val="Subtitle"/>
    <w:basedOn w:val="Normal"/>
    <w:next w:val="Normal"/>
    <w:link w:val="SubtitleChar"/>
    <w:uiPriority w:val="11"/>
    <w:qFormat/>
    <w:rsid w:val="00BA7B01"/>
    <w:pPr>
      <w:numPr>
        <w:ilvl w:val="1"/>
      </w:numPr>
    </w:pPr>
    <w:rPr>
      <w:rFonts w:eastAsiaTheme="majorEastAsia" w:cstheme="majorBidi"/>
      <w:iCs/>
      <w:color w:val="5E5E5E" w:themeColor="text2"/>
      <w:sz w:val="40"/>
      <w:szCs w:val="24"/>
    </w:rPr>
  </w:style>
  <w:style w:type="character" w:customStyle="1" w:styleId="SubtitleChar">
    <w:name w:val="Subtitle Char"/>
    <w:basedOn w:val="DefaultParagraphFont"/>
    <w:link w:val="Subtitle"/>
    <w:uiPriority w:val="11"/>
    <w:rsid w:val="00BA7B01"/>
    <w:rPr>
      <w:rFonts w:eastAsiaTheme="majorEastAsia" w:cstheme="majorBidi"/>
      <w:iCs/>
      <w:color w:val="5E5E5E" w:themeColor="text2"/>
      <w:sz w:val="40"/>
      <w:szCs w:val="24"/>
    </w:rPr>
  </w:style>
  <w:style w:type="character" w:styleId="Strong">
    <w:name w:val="Strong"/>
    <w:basedOn w:val="DefaultParagraphFont"/>
    <w:uiPriority w:val="22"/>
    <w:qFormat/>
    <w:rsid w:val="00BA7B01"/>
    <w:rPr>
      <w:b w:val="0"/>
      <w:bCs/>
      <w:i/>
      <w:color w:val="5E5E5E" w:themeColor="text2"/>
    </w:rPr>
  </w:style>
  <w:style w:type="character" w:styleId="Emphasis">
    <w:name w:val="Emphasis"/>
    <w:basedOn w:val="DefaultParagraphFont"/>
    <w:uiPriority w:val="20"/>
    <w:qFormat/>
    <w:rsid w:val="00BA7B01"/>
    <w:rPr>
      <w:b/>
      <w:i/>
      <w:iCs/>
    </w:rPr>
  </w:style>
  <w:style w:type="paragraph" w:styleId="NoSpacing">
    <w:name w:val="No Spacing"/>
    <w:link w:val="NoSpacingChar"/>
    <w:uiPriority w:val="1"/>
    <w:qFormat/>
    <w:rsid w:val="00BA7B01"/>
  </w:style>
  <w:style w:type="character" w:customStyle="1" w:styleId="NoSpacingChar">
    <w:name w:val="No Spacing Char"/>
    <w:basedOn w:val="DefaultParagraphFont"/>
    <w:link w:val="NoSpacing"/>
    <w:uiPriority w:val="1"/>
    <w:rsid w:val="00BA7B01"/>
  </w:style>
  <w:style w:type="paragraph" w:styleId="ListParagraph">
    <w:name w:val="List Paragraph"/>
    <w:basedOn w:val="Normal"/>
    <w:uiPriority w:val="34"/>
    <w:qFormat/>
    <w:rsid w:val="00BA7B01"/>
    <w:pPr>
      <w:ind w:left="720" w:hanging="288"/>
      <w:contextualSpacing/>
    </w:pPr>
    <w:rPr>
      <w:color w:val="5E5E5E" w:themeColor="text2"/>
    </w:rPr>
  </w:style>
  <w:style w:type="paragraph" w:styleId="Quote">
    <w:name w:val="Quote"/>
    <w:basedOn w:val="Normal"/>
    <w:next w:val="Normal"/>
    <w:link w:val="QuoteChar"/>
    <w:uiPriority w:val="29"/>
    <w:qFormat/>
    <w:rsid w:val="00BA7B01"/>
    <w:pPr>
      <w:spacing w:line="360" w:lineRule="auto"/>
      <w:jc w:val="center"/>
    </w:pPr>
    <w:rPr>
      <w:rFonts w:eastAsiaTheme="minorEastAsia"/>
      <w:b/>
      <w:i/>
      <w:iCs/>
      <w:color w:val="00A2FF" w:themeColor="accent1"/>
      <w:sz w:val="26"/>
    </w:rPr>
  </w:style>
  <w:style w:type="character" w:customStyle="1" w:styleId="QuoteChar">
    <w:name w:val="Quote Char"/>
    <w:basedOn w:val="DefaultParagraphFont"/>
    <w:link w:val="Quote"/>
    <w:uiPriority w:val="29"/>
    <w:rsid w:val="00BA7B01"/>
    <w:rPr>
      <w:rFonts w:eastAsiaTheme="minorEastAsia"/>
      <w:b/>
      <w:i/>
      <w:iCs/>
      <w:color w:val="00A2FF" w:themeColor="accent1"/>
      <w:sz w:val="26"/>
    </w:rPr>
  </w:style>
  <w:style w:type="paragraph" w:styleId="IntenseQuote">
    <w:name w:val="Intense Quote"/>
    <w:basedOn w:val="Normal"/>
    <w:next w:val="Normal"/>
    <w:link w:val="IntenseQuoteChar"/>
    <w:uiPriority w:val="30"/>
    <w:qFormat/>
    <w:rsid w:val="00BA7B01"/>
    <w:pPr>
      <w:pBdr>
        <w:top w:val="single" w:sz="36" w:space="8" w:color="00A2FF" w:themeColor="accent1"/>
        <w:left w:val="single" w:sz="36" w:space="8" w:color="00A2FF" w:themeColor="accent1"/>
        <w:bottom w:val="single" w:sz="36" w:space="8" w:color="00A2FF" w:themeColor="accent1"/>
        <w:right w:val="single" w:sz="36" w:space="8" w:color="00A2FF" w:themeColor="accent1"/>
      </w:pBdr>
      <w:shd w:val="clear" w:color="auto" w:fill="00A2FF"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BA7B01"/>
    <w:rPr>
      <w:rFonts w:asciiTheme="majorHAnsi" w:eastAsiaTheme="minorEastAsia" w:hAnsiTheme="majorHAnsi"/>
      <w:bCs/>
      <w:iCs/>
      <w:color w:val="FFFFFF" w:themeColor="background1"/>
      <w:sz w:val="28"/>
      <w:shd w:val="clear" w:color="auto" w:fill="00A2FF" w:themeFill="accent1"/>
    </w:rPr>
  </w:style>
  <w:style w:type="character" w:styleId="SubtleEmphasis">
    <w:name w:val="Subtle Emphasis"/>
    <w:basedOn w:val="DefaultParagraphFont"/>
    <w:uiPriority w:val="19"/>
    <w:qFormat/>
    <w:rsid w:val="00BA7B01"/>
    <w:rPr>
      <w:i/>
      <w:iCs/>
      <w:color w:val="000000"/>
    </w:rPr>
  </w:style>
  <w:style w:type="character" w:styleId="IntenseEmphasis">
    <w:name w:val="Intense Emphasis"/>
    <w:basedOn w:val="DefaultParagraphFont"/>
    <w:uiPriority w:val="21"/>
    <w:qFormat/>
    <w:rsid w:val="00BA7B01"/>
    <w:rPr>
      <w:b/>
      <w:bCs/>
      <w:i/>
      <w:iCs/>
      <w:color w:val="00A2FF" w:themeColor="accent1"/>
    </w:rPr>
  </w:style>
  <w:style w:type="character" w:styleId="SubtleReference">
    <w:name w:val="Subtle Reference"/>
    <w:basedOn w:val="DefaultParagraphFont"/>
    <w:uiPriority w:val="31"/>
    <w:qFormat/>
    <w:rsid w:val="00BA7B01"/>
    <w:rPr>
      <w:smallCaps/>
      <w:color w:val="000000"/>
      <w:u w:val="single"/>
    </w:rPr>
  </w:style>
  <w:style w:type="character" w:styleId="IntenseReference">
    <w:name w:val="Intense Reference"/>
    <w:basedOn w:val="DefaultParagraphFont"/>
    <w:uiPriority w:val="32"/>
    <w:qFormat/>
    <w:rsid w:val="00BA7B01"/>
    <w:rPr>
      <w:b w:val="0"/>
      <w:bCs/>
      <w:smallCaps/>
      <w:color w:val="00A2FF" w:themeColor="accent1"/>
      <w:spacing w:val="5"/>
      <w:u w:val="single"/>
    </w:rPr>
  </w:style>
  <w:style w:type="character" w:styleId="BookTitle">
    <w:name w:val="Book Title"/>
    <w:basedOn w:val="DefaultParagraphFont"/>
    <w:uiPriority w:val="33"/>
    <w:qFormat/>
    <w:rsid w:val="00BA7B01"/>
    <w:rPr>
      <w:rFonts w:asciiTheme="majorHAnsi" w:hAnsiTheme="majorHAnsi"/>
      <w:b/>
      <w:bCs/>
      <w:caps/>
      <w:smallCaps w:val="0"/>
      <w:color w:val="1B718A"/>
      <w:spacing w:val="10"/>
      <w:sz w:val="40"/>
    </w:rPr>
  </w:style>
  <w:style w:type="paragraph" w:styleId="TOCHeading">
    <w:name w:val="TOC Heading"/>
    <w:basedOn w:val="Heading1"/>
    <w:next w:val="Normal"/>
    <w:uiPriority w:val="39"/>
    <w:unhideWhenUsed/>
    <w:qFormat/>
    <w:rsid w:val="00BA7B01"/>
    <w:pPr>
      <w:spacing w:before="480" w:line="264" w:lineRule="auto"/>
      <w:outlineLvl w:val="9"/>
    </w:pPr>
    <w:rPr>
      <w:b w:val="0"/>
    </w:rPr>
  </w:style>
  <w:style w:type="table" w:styleId="TableGrid">
    <w:name w:val="Table Grid"/>
    <w:basedOn w:val="TableNormal"/>
    <w:uiPriority w:val="39"/>
    <w:rsid w:val="002D2F2B"/>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31462">
      <w:bodyDiv w:val="1"/>
      <w:marLeft w:val="0"/>
      <w:marRight w:val="0"/>
      <w:marTop w:val="0"/>
      <w:marBottom w:val="0"/>
      <w:divBdr>
        <w:top w:val="none" w:sz="0" w:space="0" w:color="auto"/>
        <w:left w:val="none" w:sz="0" w:space="0" w:color="auto"/>
        <w:bottom w:val="none" w:sz="0" w:space="0" w:color="auto"/>
        <w:right w:val="none" w:sz="0" w:space="0" w:color="auto"/>
      </w:divBdr>
    </w:div>
    <w:div w:id="238371157">
      <w:bodyDiv w:val="1"/>
      <w:marLeft w:val="0"/>
      <w:marRight w:val="0"/>
      <w:marTop w:val="0"/>
      <w:marBottom w:val="0"/>
      <w:divBdr>
        <w:top w:val="none" w:sz="0" w:space="0" w:color="auto"/>
        <w:left w:val="none" w:sz="0" w:space="0" w:color="auto"/>
        <w:bottom w:val="none" w:sz="0" w:space="0" w:color="auto"/>
        <w:right w:val="none" w:sz="0" w:space="0" w:color="auto"/>
      </w:divBdr>
    </w:div>
    <w:div w:id="314995303">
      <w:bodyDiv w:val="1"/>
      <w:marLeft w:val="0"/>
      <w:marRight w:val="0"/>
      <w:marTop w:val="0"/>
      <w:marBottom w:val="0"/>
      <w:divBdr>
        <w:top w:val="none" w:sz="0" w:space="0" w:color="auto"/>
        <w:left w:val="none" w:sz="0" w:space="0" w:color="auto"/>
        <w:bottom w:val="none" w:sz="0" w:space="0" w:color="auto"/>
        <w:right w:val="none" w:sz="0" w:space="0" w:color="auto"/>
      </w:divBdr>
    </w:div>
    <w:div w:id="332073814">
      <w:bodyDiv w:val="1"/>
      <w:marLeft w:val="0"/>
      <w:marRight w:val="0"/>
      <w:marTop w:val="0"/>
      <w:marBottom w:val="0"/>
      <w:divBdr>
        <w:top w:val="none" w:sz="0" w:space="0" w:color="auto"/>
        <w:left w:val="none" w:sz="0" w:space="0" w:color="auto"/>
        <w:bottom w:val="none" w:sz="0" w:space="0" w:color="auto"/>
        <w:right w:val="none" w:sz="0" w:space="0" w:color="auto"/>
      </w:divBdr>
    </w:div>
    <w:div w:id="759762484">
      <w:bodyDiv w:val="1"/>
      <w:marLeft w:val="0"/>
      <w:marRight w:val="0"/>
      <w:marTop w:val="0"/>
      <w:marBottom w:val="0"/>
      <w:divBdr>
        <w:top w:val="none" w:sz="0" w:space="0" w:color="auto"/>
        <w:left w:val="none" w:sz="0" w:space="0" w:color="auto"/>
        <w:bottom w:val="none" w:sz="0" w:space="0" w:color="auto"/>
        <w:right w:val="none" w:sz="0" w:space="0" w:color="auto"/>
      </w:divBdr>
    </w:div>
    <w:div w:id="844396384">
      <w:bodyDiv w:val="1"/>
      <w:marLeft w:val="0"/>
      <w:marRight w:val="0"/>
      <w:marTop w:val="0"/>
      <w:marBottom w:val="0"/>
      <w:divBdr>
        <w:top w:val="none" w:sz="0" w:space="0" w:color="auto"/>
        <w:left w:val="none" w:sz="0" w:space="0" w:color="auto"/>
        <w:bottom w:val="none" w:sz="0" w:space="0" w:color="auto"/>
        <w:right w:val="none" w:sz="0" w:space="0" w:color="auto"/>
      </w:divBdr>
    </w:div>
    <w:div w:id="858587458">
      <w:bodyDiv w:val="1"/>
      <w:marLeft w:val="0"/>
      <w:marRight w:val="0"/>
      <w:marTop w:val="0"/>
      <w:marBottom w:val="0"/>
      <w:divBdr>
        <w:top w:val="none" w:sz="0" w:space="0" w:color="auto"/>
        <w:left w:val="none" w:sz="0" w:space="0" w:color="auto"/>
        <w:bottom w:val="none" w:sz="0" w:space="0" w:color="auto"/>
        <w:right w:val="none" w:sz="0" w:space="0" w:color="auto"/>
      </w:divBdr>
    </w:div>
    <w:div w:id="1014309265">
      <w:bodyDiv w:val="1"/>
      <w:marLeft w:val="0"/>
      <w:marRight w:val="0"/>
      <w:marTop w:val="0"/>
      <w:marBottom w:val="0"/>
      <w:divBdr>
        <w:top w:val="none" w:sz="0" w:space="0" w:color="auto"/>
        <w:left w:val="none" w:sz="0" w:space="0" w:color="auto"/>
        <w:bottom w:val="none" w:sz="0" w:space="0" w:color="auto"/>
        <w:right w:val="none" w:sz="0" w:space="0" w:color="auto"/>
      </w:divBdr>
    </w:div>
    <w:div w:id="1176504017">
      <w:bodyDiv w:val="1"/>
      <w:marLeft w:val="0"/>
      <w:marRight w:val="0"/>
      <w:marTop w:val="0"/>
      <w:marBottom w:val="0"/>
      <w:divBdr>
        <w:top w:val="none" w:sz="0" w:space="0" w:color="auto"/>
        <w:left w:val="none" w:sz="0" w:space="0" w:color="auto"/>
        <w:bottom w:val="none" w:sz="0" w:space="0" w:color="auto"/>
        <w:right w:val="none" w:sz="0" w:space="0" w:color="auto"/>
      </w:divBdr>
    </w:div>
    <w:div w:id="1230993082">
      <w:bodyDiv w:val="1"/>
      <w:marLeft w:val="0"/>
      <w:marRight w:val="0"/>
      <w:marTop w:val="0"/>
      <w:marBottom w:val="0"/>
      <w:divBdr>
        <w:top w:val="none" w:sz="0" w:space="0" w:color="auto"/>
        <w:left w:val="none" w:sz="0" w:space="0" w:color="auto"/>
        <w:bottom w:val="none" w:sz="0" w:space="0" w:color="auto"/>
        <w:right w:val="none" w:sz="0" w:space="0" w:color="auto"/>
      </w:divBdr>
    </w:div>
    <w:div w:id="1359114284">
      <w:bodyDiv w:val="1"/>
      <w:marLeft w:val="0"/>
      <w:marRight w:val="0"/>
      <w:marTop w:val="0"/>
      <w:marBottom w:val="0"/>
      <w:divBdr>
        <w:top w:val="none" w:sz="0" w:space="0" w:color="auto"/>
        <w:left w:val="none" w:sz="0" w:space="0" w:color="auto"/>
        <w:bottom w:val="none" w:sz="0" w:space="0" w:color="auto"/>
        <w:right w:val="none" w:sz="0" w:space="0" w:color="auto"/>
      </w:divBdr>
    </w:div>
    <w:div w:id="1587155094">
      <w:bodyDiv w:val="1"/>
      <w:marLeft w:val="0"/>
      <w:marRight w:val="0"/>
      <w:marTop w:val="0"/>
      <w:marBottom w:val="0"/>
      <w:divBdr>
        <w:top w:val="none" w:sz="0" w:space="0" w:color="auto"/>
        <w:left w:val="none" w:sz="0" w:space="0" w:color="auto"/>
        <w:bottom w:val="none" w:sz="0" w:space="0" w:color="auto"/>
        <w:right w:val="none" w:sz="0" w:space="0" w:color="auto"/>
      </w:divBdr>
    </w:div>
    <w:div w:id="1647589728">
      <w:bodyDiv w:val="1"/>
      <w:marLeft w:val="0"/>
      <w:marRight w:val="0"/>
      <w:marTop w:val="0"/>
      <w:marBottom w:val="0"/>
      <w:divBdr>
        <w:top w:val="none" w:sz="0" w:space="0" w:color="auto"/>
        <w:left w:val="none" w:sz="0" w:space="0" w:color="auto"/>
        <w:bottom w:val="none" w:sz="0" w:space="0" w:color="auto"/>
        <w:right w:val="none" w:sz="0" w:space="0" w:color="auto"/>
      </w:divBdr>
    </w:div>
    <w:div w:id="1739594975">
      <w:bodyDiv w:val="1"/>
      <w:marLeft w:val="0"/>
      <w:marRight w:val="0"/>
      <w:marTop w:val="0"/>
      <w:marBottom w:val="0"/>
      <w:divBdr>
        <w:top w:val="none" w:sz="0" w:space="0" w:color="auto"/>
        <w:left w:val="none" w:sz="0" w:space="0" w:color="auto"/>
        <w:bottom w:val="none" w:sz="0" w:space="0" w:color="auto"/>
        <w:right w:val="none" w:sz="0" w:space="0" w:color="auto"/>
      </w:divBdr>
    </w:div>
    <w:div w:id="1873422915">
      <w:bodyDiv w:val="1"/>
      <w:marLeft w:val="0"/>
      <w:marRight w:val="0"/>
      <w:marTop w:val="0"/>
      <w:marBottom w:val="0"/>
      <w:divBdr>
        <w:top w:val="none" w:sz="0" w:space="0" w:color="auto"/>
        <w:left w:val="none" w:sz="0" w:space="0" w:color="auto"/>
        <w:bottom w:val="none" w:sz="0" w:space="0" w:color="auto"/>
        <w:right w:val="none" w:sz="0" w:space="0" w:color="auto"/>
      </w:divBdr>
    </w:div>
    <w:div w:id="1946113639">
      <w:bodyDiv w:val="1"/>
      <w:marLeft w:val="0"/>
      <w:marRight w:val="0"/>
      <w:marTop w:val="0"/>
      <w:marBottom w:val="0"/>
      <w:divBdr>
        <w:top w:val="none" w:sz="0" w:space="0" w:color="auto"/>
        <w:left w:val="none" w:sz="0" w:space="0" w:color="auto"/>
        <w:bottom w:val="none" w:sz="0" w:space="0" w:color="auto"/>
        <w:right w:val="none" w:sz="0" w:space="0" w:color="auto"/>
      </w:divBdr>
    </w:div>
    <w:div w:id="198600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right">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Toms</dc:creator>
  <cp:keywords/>
  <dc:description/>
  <cp:lastModifiedBy>Jake Kennerley</cp:lastModifiedBy>
  <cp:revision>4</cp:revision>
  <dcterms:created xsi:type="dcterms:W3CDTF">2025-01-21T13:49:00Z</dcterms:created>
  <dcterms:modified xsi:type="dcterms:W3CDTF">2025-02-12T13:29:00Z</dcterms:modified>
</cp:coreProperties>
</file>